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B422" w14:textId="0393208F" w:rsidR="00B067C8" w:rsidRDefault="000D49BA" w:rsidP="00263CD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GATE </w:t>
      </w:r>
      <w:r w:rsidR="00B067C8" w:rsidRPr="00175927">
        <w:rPr>
          <w:rFonts w:asciiTheme="majorHAnsi" w:hAnsiTheme="majorHAnsi"/>
          <w:b/>
          <w:bCs/>
          <w:sz w:val="32"/>
          <w:szCs w:val="32"/>
        </w:rPr>
        <w:t>VALVES</w:t>
      </w:r>
    </w:p>
    <w:p w14:paraId="4C4634EB" w14:textId="77777777" w:rsidR="0084739D" w:rsidRPr="0084739D" w:rsidRDefault="0084739D" w:rsidP="0084739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F935AE3" w14:textId="614EF4ED" w:rsidR="00B067C8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 w:rsidR="00701FC3">
        <w:rPr>
          <w:b/>
          <w:bCs/>
        </w:rPr>
        <w:t xml:space="preserve"> </w:t>
      </w:r>
    </w:p>
    <w:p w14:paraId="3C3FB102" w14:textId="77777777" w:rsidR="00DC7C6D" w:rsidRPr="00175927" w:rsidRDefault="00DC7C6D" w:rsidP="00B067C8">
      <w:pPr>
        <w:pStyle w:val="NoSpacing"/>
        <w:rPr>
          <w:b/>
          <w:bCs/>
        </w:rPr>
      </w:pPr>
    </w:p>
    <w:p w14:paraId="3161ED27" w14:textId="0027AA0F" w:rsidR="00B067C8" w:rsidRPr="00DC7C6D" w:rsidRDefault="00BF7C02" w:rsidP="00B067C8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 xml:space="preserve">SECTION </w:t>
      </w:r>
      <w:r w:rsidR="004513DF">
        <w:rPr>
          <w:b/>
          <w:bCs/>
        </w:rPr>
        <w:t>COVERS</w:t>
      </w:r>
    </w:p>
    <w:p w14:paraId="343FA097" w14:textId="02DE2873" w:rsidR="00175927" w:rsidRPr="00B067C8" w:rsidRDefault="004513DF" w:rsidP="00175927">
      <w:pPr>
        <w:pStyle w:val="NoSpacing"/>
        <w:numPr>
          <w:ilvl w:val="0"/>
          <w:numId w:val="2"/>
        </w:numPr>
      </w:pPr>
      <w:r>
        <w:t xml:space="preserve">The </w:t>
      </w:r>
      <w:r w:rsidR="0016041B">
        <w:t xml:space="preserve">design, manufacture, and testing of </w:t>
      </w:r>
      <w:r w:rsidR="00192848">
        <w:t>4</w:t>
      </w:r>
      <w:r w:rsidR="0016041B">
        <w:t xml:space="preserve">” through </w:t>
      </w:r>
      <w:r w:rsidR="000D49BA">
        <w:t>5</w:t>
      </w:r>
      <w:r w:rsidR="00A97687">
        <w:t>4</w:t>
      </w:r>
      <w:r w:rsidR="0016041B">
        <w:t xml:space="preserve">” </w:t>
      </w:r>
      <w:r w:rsidR="000D49BA">
        <w:t>gate</w:t>
      </w:r>
      <w:r w:rsidR="00175927" w:rsidRPr="00B067C8">
        <w:t xml:space="preserve"> valves</w:t>
      </w:r>
      <w:r w:rsidR="0016041B">
        <w:t xml:space="preserve"> </w:t>
      </w:r>
      <w:r w:rsidR="00175927" w:rsidRPr="00B067C8">
        <w:t xml:space="preserve">of </w:t>
      </w:r>
      <w:r w:rsidR="00860A80">
        <w:t>the resilient seated design</w:t>
      </w:r>
      <w:r w:rsidR="00175927" w:rsidRPr="00B067C8">
        <w:t>, for the purpose of providing isolation as indicated.</w:t>
      </w:r>
    </w:p>
    <w:p w14:paraId="3181FD2A" w14:textId="2C88FBF5" w:rsidR="00175927" w:rsidRPr="00B067C8" w:rsidRDefault="00175927" w:rsidP="00175927">
      <w:pPr>
        <w:pStyle w:val="NoSpacing"/>
        <w:ind w:left="720"/>
      </w:pPr>
    </w:p>
    <w:p w14:paraId="65D53446" w14:textId="4ED5EE66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REFERENCES</w:t>
      </w:r>
      <w:r w:rsidR="0074679A">
        <w:rPr>
          <w:b/>
          <w:bCs/>
        </w:rPr>
        <w:t xml:space="preserve"> &amp; STANDARDS</w:t>
      </w:r>
    </w:p>
    <w:p w14:paraId="4D62F580" w14:textId="18F68EE6" w:rsidR="0020359D" w:rsidRPr="00CE36E7" w:rsidRDefault="0020359D" w:rsidP="00175927">
      <w:pPr>
        <w:pStyle w:val="NoSpacing"/>
        <w:numPr>
          <w:ilvl w:val="0"/>
          <w:numId w:val="3"/>
        </w:numPr>
      </w:pPr>
      <w:r w:rsidRPr="00CE36E7">
        <w:t>AWWA C5</w:t>
      </w:r>
      <w:r w:rsidR="000D49BA">
        <w:t>15</w:t>
      </w:r>
      <w:r w:rsidR="0074679A" w:rsidRPr="00CE36E7">
        <w:t xml:space="preserve"> “</w:t>
      </w:r>
      <w:r w:rsidR="000D49BA">
        <w:t>Resilient Seated Gate Valves for Water Supply Service</w:t>
      </w:r>
      <w:r w:rsidR="001C674B" w:rsidRPr="00CE36E7">
        <w:t>”</w:t>
      </w:r>
    </w:p>
    <w:p w14:paraId="37DDCAB2" w14:textId="5524E132" w:rsidR="00175927" w:rsidRPr="00B067C8" w:rsidRDefault="00175927" w:rsidP="00175927">
      <w:pPr>
        <w:pStyle w:val="NoSpacing"/>
        <w:numPr>
          <w:ilvl w:val="0"/>
          <w:numId w:val="3"/>
        </w:numPr>
      </w:pPr>
      <w:r w:rsidRPr="00B067C8">
        <w:t xml:space="preserve">ASTM </w:t>
      </w:r>
      <w:r w:rsidR="002D0622">
        <w:t>A</w:t>
      </w:r>
      <w:r w:rsidRPr="00B067C8">
        <w:t>536 "Standard Specification for Ductile Iron Castings"</w:t>
      </w:r>
    </w:p>
    <w:p w14:paraId="14B2504C" w14:textId="48F9ABEC" w:rsidR="00175927" w:rsidRDefault="00175927" w:rsidP="00175927">
      <w:pPr>
        <w:pStyle w:val="NoSpacing"/>
        <w:numPr>
          <w:ilvl w:val="0"/>
          <w:numId w:val="3"/>
        </w:numPr>
      </w:pPr>
      <w:r w:rsidRPr="00B067C8">
        <w:t>ANSI B16.</w:t>
      </w:r>
      <w:r w:rsidR="003857E1">
        <w:t>1</w:t>
      </w:r>
      <w:r w:rsidRPr="00B067C8">
        <w:t xml:space="preserve"> "Pipe Flanges and Flanged Fittings"</w:t>
      </w:r>
    </w:p>
    <w:p w14:paraId="3B811C89" w14:textId="2184657B" w:rsidR="002F3CA9" w:rsidRDefault="002F3CA9" w:rsidP="00175927">
      <w:pPr>
        <w:pStyle w:val="NoSpacing"/>
        <w:numPr>
          <w:ilvl w:val="0"/>
          <w:numId w:val="3"/>
        </w:numPr>
      </w:pPr>
      <w:r w:rsidRPr="002F3CA9">
        <w:t>AWWA C111 “Rubber-Gasketed Joints for Ductile-Iron Pressure Pipe and Fittings”</w:t>
      </w:r>
    </w:p>
    <w:p w14:paraId="1704B870" w14:textId="0DC16B43" w:rsidR="00432045" w:rsidRPr="00B067C8" w:rsidRDefault="00432045" w:rsidP="00432045">
      <w:pPr>
        <w:pStyle w:val="NoSpacing"/>
        <w:numPr>
          <w:ilvl w:val="0"/>
          <w:numId w:val="3"/>
        </w:numPr>
      </w:pPr>
      <w:r w:rsidRPr="00B82511">
        <w:t>NSF 61/372 “Drinking Water System Components – Health Effects</w:t>
      </w:r>
      <w:r>
        <w:t>”</w:t>
      </w:r>
    </w:p>
    <w:p w14:paraId="47E27E74" w14:textId="77777777" w:rsidR="00175927" w:rsidRDefault="00175927" w:rsidP="00B067C8">
      <w:pPr>
        <w:pStyle w:val="NoSpacing"/>
      </w:pPr>
    </w:p>
    <w:p w14:paraId="199A4514" w14:textId="50D0F68A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QUALITY ASSURANCE</w:t>
      </w:r>
    </w:p>
    <w:p w14:paraId="6EBC777B" w14:textId="2C8DF8A3" w:rsidR="00175927" w:rsidRPr="00B067C8" w:rsidRDefault="00175927" w:rsidP="00175927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 w:rsidR="003F151B" w:rsidRPr="00CE36E7">
        <w:t>one</w:t>
      </w:r>
      <w:r w:rsidRPr="00CE36E7">
        <w:t xml:space="preserve"> year (</w:t>
      </w:r>
      <w:r w:rsidR="003F151B" w:rsidRPr="00CE36E7">
        <w:t>12</w:t>
      </w:r>
      <w:r w:rsidRPr="00CE36E7">
        <w:t xml:space="preserve"> months)</w:t>
      </w:r>
      <w:r w:rsidRPr="00B067C8">
        <w:t xml:space="preserve"> from date of shipment.</w:t>
      </w:r>
    </w:p>
    <w:p w14:paraId="154BB1D1" w14:textId="17A629D3" w:rsidR="00175927" w:rsidRDefault="00175927" w:rsidP="00175927">
      <w:pPr>
        <w:pStyle w:val="NoSpacing"/>
        <w:numPr>
          <w:ilvl w:val="0"/>
          <w:numId w:val="5"/>
        </w:numPr>
      </w:pPr>
      <w:r w:rsidRPr="00B067C8">
        <w:t>Each valve and actuator shall be assembled, adjusted and tested as a unit by the valve manufacturer.</w:t>
      </w:r>
    </w:p>
    <w:p w14:paraId="6B5A71EF" w14:textId="77777777" w:rsidR="00175927" w:rsidRPr="00B067C8" w:rsidRDefault="00175927" w:rsidP="00175927">
      <w:pPr>
        <w:pStyle w:val="NoSpacing"/>
      </w:pPr>
    </w:p>
    <w:p w14:paraId="3165A82C" w14:textId="71C63C02" w:rsidR="00B067C8" w:rsidRPr="00175927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2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PRODUCTS</w:t>
      </w:r>
      <w:r w:rsidR="00701FC3">
        <w:rPr>
          <w:b/>
          <w:bCs/>
        </w:rPr>
        <w:t xml:space="preserve"> </w:t>
      </w:r>
    </w:p>
    <w:p w14:paraId="6437F178" w14:textId="77777777" w:rsidR="00175927" w:rsidRDefault="00175927" w:rsidP="00B067C8">
      <w:pPr>
        <w:pStyle w:val="NoSpacing"/>
      </w:pPr>
    </w:p>
    <w:p w14:paraId="54F60BED" w14:textId="023F3B63" w:rsidR="00175927" w:rsidRPr="00DC7C6D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 xml:space="preserve">2.01 </w:t>
      </w:r>
      <w:r w:rsidR="00981023">
        <w:rPr>
          <w:b/>
          <w:bCs/>
        </w:rPr>
        <w:t xml:space="preserve">     </w:t>
      </w:r>
      <w:r w:rsidRPr="00175927">
        <w:rPr>
          <w:b/>
          <w:bCs/>
        </w:rPr>
        <w:t>ACCEPTABLE MANUFACTURERS</w:t>
      </w:r>
    </w:p>
    <w:p w14:paraId="3B6AE303" w14:textId="7DC55A51" w:rsidR="00175927" w:rsidRDefault="00175927" w:rsidP="00175927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3CE1AAC8" w14:textId="13E3B49D" w:rsidR="005421C4" w:rsidRDefault="005421C4" w:rsidP="005421C4">
      <w:pPr>
        <w:pStyle w:val="NoSpacing"/>
        <w:numPr>
          <w:ilvl w:val="0"/>
          <w:numId w:val="6"/>
        </w:numPr>
      </w:pPr>
      <w:r>
        <w:t>M&amp;H Valve Company</w:t>
      </w:r>
    </w:p>
    <w:p w14:paraId="44C4F6EE" w14:textId="3ECCC7D0" w:rsidR="00175927" w:rsidRDefault="00175927" w:rsidP="00175927">
      <w:pPr>
        <w:pStyle w:val="NoSpacing"/>
        <w:numPr>
          <w:ilvl w:val="0"/>
          <w:numId w:val="6"/>
        </w:numPr>
      </w:pPr>
      <w:r>
        <w:t>Kennedy Valve</w:t>
      </w:r>
    </w:p>
    <w:p w14:paraId="78B69AA8" w14:textId="018ECE78" w:rsidR="00175927" w:rsidRDefault="00175927" w:rsidP="00175927">
      <w:pPr>
        <w:pStyle w:val="NoSpacing"/>
        <w:numPr>
          <w:ilvl w:val="0"/>
          <w:numId w:val="6"/>
        </w:numPr>
      </w:pPr>
      <w:r>
        <w:t>Clow Valve</w:t>
      </w:r>
    </w:p>
    <w:p w14:paraId="00A7806D" w14:textId="5E937AE1" w:rsidR="00B067C8" w:rsidRPr="00B067C8" w:rsidRDefault="00B067C8" w:rsidP="00B067C8">
      <w:pPr>
        <w:pStyle w:val="NoSpacing"/>
      </w:pPr>
    </w:p>
    <w:p w14:paraId="3FE4B707" w14:textId="3A21113C" w:rsidR="00175927" w:rsidRPr="00DC7C6D" w:rsidRDefault="003F151B" w:rsidP="00B067C8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</w:t>
      </w:r>
      <w:r w:rsidR="00981023">
        <w:rPr>
          <w:b/>
          <w:bCs/>
        </w:rPr>
        <w:t xml:space="preserve">     </w:t>
      </w:r>
      <w:r w:rsidR="009F4D38">
        <w:rPr>
          <w:b/>
          <w:bCs/>
        </w:rPr>
        <w:t xml:space="preserve">RESILIENT </w:t>
      </w:r>
      <w:r w:rsidR="009D71A9">
        <w:rPr>
          <w:b/>
          <w:bCs/>
        </w:rPr>
        <w:t>SEATED</w:t>
      </w:r>
      <w:r w:rsidR="009F4D38">
        <w:rPr>
          <w:b/>
          <w:bCs/>
        </w:rPr>
        <w:t xml:space="preserve"> GATE</w:t>
      </w:r>
      <w:r w:rsidR="00B067C8" w:rsidRPr="00175927">
        <w:rPr>
          <w:b/>
          <w:bCs/>
        </w:rPr>
        <w:t xml:space="preserve"> VALVES</w:t>
      </w:r>
    </w:p>
    <w:p w14:paraId="48661E30" w14:textId="583EBB5A" w:rsidR="00536CA7" w:rsidRDefault="00FF2D36" w:rsidP="007C6A9D">
      <w:pPr>
        <w:pStyle w:val="NoSpacing"/>
        <w:numPr>
          <w:ilvl w:val="0"/>
          <w:numId w:val="7"/>
        </w:numPr>
      </w:pPr>
      <w:r>
        <w:t>V</w:t>
      </w:r>
      <w:r w:rsidR="00D65222">
        <w:t>alve b</w:t>
      </w:r>
      <w:r w:rsidR="003F151B" w:rsidRPr="00B067C8">
        <w:t>od</w:t>
      </w:r>
      <w:r w:rsidR="00CB7BBB">
        <w:t xml:space="preserve">y </w:t>
      </w:r>
      <w:r w:rsidR="00743D7D">
        <w:t xml:space="preserve">and bonnet </w:t>
      </w:r>
      <w:r w:rsidR="003F151B" w:rsidRPr="00B067C8">
        <w:t xml:space="preserve">shall be </w:t>
      </w:r>
      <w:r w:rsidR="00021A8E">
        <w:t>d</w:t>
      </w:r>
      <w:r w:rsidR="003F151B" w:rsidRPr="00B067C8">
        <w:t xml:space="preserve">uctile </w:t>
      </w:r>
      <w:r w:rsidR="00021A8E">
        <w:t>i</w:t>
      </w:r>
      <w:r w:rsidR="003F151B" w:rsidRPr="00B067C8">
        <w:t>ron</w:t>
      </w:r>
      <w:r w:rsidR="009E04D6" w:rsidRPr="009E04D6">
        <w:t xml:space="preserve"> </w:t>
      </w:r>
      <w:r w:rsidR="009E04D6">
        <w:t>per ASTM A536</w:t>
      </w:r>
      <w:r w:rsidR="007E7A46">
        <w:t>.</w:t>
      </w:r>
      <w:r w:rsidR="00C95AC5">
        <w:t xml:space="preserve"> </w:t>
      </w:r>
      <w:r w:rsidR="00C95AC5" w:rsidRPr="00C95AC5">
        <w:t>Waterway shall be smooth, unobstructed and free of all pockets, cavities and depressions in the seat area</w:t>
      </w:r>
      <w:r w:rsidR="00536CA7">
        <w:t>.</w:t>
      </w:r>
    </w:p>
    <w:p w14:paraId="79A8BDDE" w14:textId="3F3890BB" w:rsidR="00065AFE" w:rsidRPr="00B067C8" w:rsidRDefault="00FF2D36" w:rsidP="00577F14">
      <w:pPr>
        <w:pStyle w:val="NoSpacing"/>
        <w:numPr>
          <w:ilvl w:val="0"/>
          <w:numId w:val="7"/>
        </w:numPr>
      </w:pPr>
      <w:r>
        <w:t xml:space="preserve">Valve </w:t>
      </w:r>
      <w:r w:rsidR="00743D7D">
        <w:t xml:space="preserve">wedge </w:t>
      </w:r>
      <w:r w:rsidRPr="00B067C8">
        <w:t xml:space="preserve">shall be </w:t>
      </w:r>
      <w:r>
        <w:t>d</w:t>
      </w:r>
      <w:r w:rsidRPr="00B067C8">
        <w:t xml:space="preserve">uctile </w:t>
      </w:r>
      <w:r>
        <w:t>i</w:t>
      </w:r>
      <w:r w:rsidRPr="00B067C8">
        <w:t>ron</w:t>
      </w:r>
      <w:r w:rsidRPr="009E04D6">
        <w:t xml:space="preserve"> </w:t>
      </w:r>
      <w:r>
        <w:t>per ASTM A536</w:t>
      </w:r>
      <w:r w:rsidR="00743D7D">
        <w:t xml:space="preserve"> and fully encapsulated with EPDM rubber. The sealing rubber shall be permanently bonded to the wedge per ASTM D429.</w:t>
      </w:r>
    </w:p>
    <w:p w14:paraId="7DBA21A2" w14:textId="2C5EE99D" w:rsidR="00743D7D" w:rsidRDefault="00743D7D" w:rsidP="00175927">
      <w:pPr>
        <w:pStyle w:val="NoSpacing"/>
        <w:numPr>
          <w:ilvl w:val="0"/>
          <w:numId w:val="7"/>
        </w:numPr>
      </w:pPr>
      <w:r>
        <w:t xml:space="preserve">Valve shall be either non-rising stem (NRS) or rising stem (OS&amp;Y), open by turning left or right, and provided with a 2” operating nut or handwheel. </w:t>
      </w:r>
    </w:p>
    <w:p w14:paraId="2DAB97FF" w14:textId="0DADE654" w:rsidR="002807A7" w:rsidRDefault="00075BFD" w:rsidP="00D23F9C">
      <w:pPr>
        <w:pStyle w:val="NoSpacing"/>
        <w:numPr>
          <w:ilvl w:val="0"/>
          <w:numId w:val="7"/>
        </w:numPr>
      </w:pPr>
      <w:r>
        <w:t xml:space="preserve">Valve </w:t>
      </w:r>
      <w:r w:rsidR="00743D7D">
        <w:t>s</w:t>
      </w:r>
      <w:r w:rsidR="00C54F46">
        <w:t xml:space="preserve">tems shall be cast copper alloy with integral collars in full compliance with AWWA. </w:t>
      </w:r>
      <w:r w:rsidR="007B2D3B" w:rsidRPr="007B2D3B">
        <w:t xml:space="preserve">Stems shall have two </w:t>
      </w:r>
      <w:r w:rsidR="007B2D3B">
        <w:t xml:space="preserve">EPDM </w:t>
      </w:r>
      <w:r w:rsidR="007B2D3B" w:rsidRPr="007B2D3B">
        <w:t xml:space="preserve">O-rings located above thrust collar and one O-ring below. Stem O-rings shall be replaceable with </w:t>
      </w:r>
      <w:r w:rsidR="00290CF8">
        <w:t xml:space="preserve">the </w:t>
      </w:r>
      <w:r w:rsidR="00AA2493" w:rsidRPr="007B2D3B">
        <w:t>valve</w:t>
      </w:r>
      <w:r w:rsidR="00AA2493">
        <w:t xml:space="preserve"> </w:t>
      </w:r>
      <w:r w:rsidR="0006539E">
        <w:t>open during operating conditions</w:t>
      </w:r>
      <w:r w:rsidR="007B2D3B" w:rsidRPr="007B2D3B">
        <w:t xml:space="preserve">. </w:t>
      </w:r>
      <w:r w:rsidR="0006539E">
        <w:t xml:space="preserve">4” through 20” valve stems </w:t>
      </w:r>
      <w:r w:rsidR="007B2D3B" w:rsidRPr="007B2D3B">
        <w:t xml:space="preserve">shall </w:t>
      </w:r>
      <w:r w:rsidR="00AA2493">
        <w:t>be provided with</w:t>
      </w:r>
      <w:r w:rsidR="007B2D3B" w:rsidRPr="007B2D3B">
        <w:t xml:space="preserve"> two low torque thrust bearings located above and below the stem collar to reduce friction during operation</w:t>
      </w:r>
      <w:r w:rsidR="00AA2493">
        <w:t xml:space="preserve">. </w:t>
      </w:r>
    </w:p>
    <w:p w14:paraId="12B4858F" w14:textId="32747307" w:rsidR="000A52C4" w:rsidRPr="00FE1FC0" w:rsidRDefault="000A52C4" w:rsidP="00D23F9C">
      <w:pPr>
        <w:pStyle w:val="NoSpacing"/>
        <w:numPr>
          <w:ilvl w:val="0"/>
          <w:numId w:val="7"/>
        </w:numPr>
      </w:pPr>
      <w:r>
        <w:t>Non-rising stem valves shall operate with copper alloy stem nuts independent of wedge and stem.</w:t>
      </w:r>
    </w:p>
    <w:p w14:paraId="17F43637" w14:textId="77777777" w:rsidR="00743D7D" w:rsidRDefault="00743D7D" w:rsidP="009B6568">
      <w:pPr>
        <w:pStyle w:val="NoSpacing"/>
        <w:numPr>
          <w:ilvl w:val="0"/>
          <w:numId w:val="7"/>
        </w:numPr>
      </w:pPr>
      <w:r w:rsidRPr="00743D7D">
        <w:t>Valves shall be supplied with O-ring seals at all pressure retaining joints. No flat gaskets or conventional type packing shall be allowed on NRS valves.</w:t>
      </w:r>
    </w:p>
    <w:p w14:paraId="415FC8FB" w14:textId="1DC61869" w:rsidR="009A4F03" w:rsidRDefault="009A4F03" w:rsidP="009B6568">
      <w:pPr>
        <w:pStyle w:val="NoSpacing"/>
        <w:numPr>
          <w:ilvl w:val="0"/>
          <w:numId w:val="7"/>
        </w:numPr>
      </w:pPr>
      <w:r>
        <w:lastRenderedPageBreak/>
        <w:t xml:space="preserve">Valves 24” and larger shall be include </w:t>
      </w:r>
      <w:proofErr w:type="spellStart"/>
      <w:r>
        <w:t>CleanTrack</w:t>
      </w:r>
      <w:proofErr w:type="spellEnd"/>
      <w:r w:rsidR="00916E20">
        <w:t xml:space="preserve"> Technology. </w:t>
      </w:r>
      <w:proofErr w:type="spellStart"/>
      <w:r w:rsidR="00916E20">
        <w:t>CleanTrack</w:t>
      </w:r>
      <w:proofErr w:type="spellEnd"/>
      <w:r w:rsidR="00916E20">
        <w:t xml:space="preserve"> </w:t>
      </w:r>
      <w:r w:rsidR="00D73EF2">
        <w:t xml:space="preserve">shall consist of </w:t>
      </w:r>
      <w:r w:rsidR="004C7A74">
        <w:t>two bronze rollers and scrapers affixed to each side of the wedge</w:t>
      </w:r>
      <w:r w:rsidR="00AA5D59">
        <w:t xml:space="preserve"> </w:t>
      </w:r>
      <w:r w:rsidR="00863A51">
        <w:t>and</w:t>
      </w:r>
      <w:r w:rsidR="00AA5D59">
        <w:t xml:space="preserve"> travel along a </w:t>
      </w:r>
      <w:r w:rsidR="003F6D3E">
        <w:t>stainless-steel</w:t>
      </w:r>
      <w:r w:rsidR="00AA5D59">
        <w:t xml:space="preserve"> track. </w:t>
      </w:r>
    </w:p>
    <w:p w14:paraId="27904557" w14:textId="5806E077" w:rsidR="004911B4" w:rsidRDefault="004911B4" w:rsidP="00B067C8">
      <w:pPr>
        <w:pStyle w:val="NoSpacing"/>
        <w:numPr>
          <w:ilvl w:val="0"/>
          <w:numId w:val="7"/>
        </w:numPr>
      </w:pPr>
      <w:r w:rsidRPr="004911B4">
        <w:t>Valve</w:t>
      </w:r>
      <w:r w:rsidR="00805DB6">
        <w:t xml:space="preserve">s </w:t>
      </w:r>
      <w:r w:rsidR="00290CF8">
        <w:t>30</w:t>
      </w:r>
      <w:r w:rsidR="00805DB6">
        <w:t>” and larger shall be provided with a bevel gear for horiz</w:t>
      </w:r>
      <w:r w:rsidR="009749BC">
        <w:t>ontal valve</w:t>
      </w:r>
      <w:r w:rsidR="00390BFB">
        <w:t xml:space="preserve"> orientations</w:t>
      </w:r>
      <w:r w:rsidR="009749BC">
        <w:t xml:space="preserve"> or spur gear for vertical </w:t>
      </w:r>
      <w:r w:rsidR="00390BFB">
        <w:t>orientations</w:t>
      </w:r>
      <w:r w:rsidR="009749BC">
        <w:t xml:space="preserve">. </w:t>
      </w:r>
    </w:p>
    <w:p w14:paraId="2E1DAAAB" w14:textId="27CFCB82" w:rsidR="00BD5FD0" w:rsidRDefault="00BD5FD0" w:rsidP="00B067C8">
      <w:pPr>
        <w:pStyle w:val="NoSpacing"/>
        <w:numPr>
          <w:ilvl w:val="0"/>
          <w:numId w:val="7"/>
        </w:numPr>
      </w:pPr>
      <w:r>
        <w:t>All</w:t>
      </w:r>
      <w:r w:rsidR="0010466E">
        <w:t xml:space="preserve"> valve </w:t>
      </w:r>
      <w:r>
        <w:t>fasteners shall be stainless ste</w:t>
      </w:r>
      <w:r w:rsidR="0010466E">
        <w:t>e</w:t>
      </w:r>
      <w:r>
        <w:t>l</w:t>
      </w:r>
      <w:r w:rsidR="0010466E">
        <w:t>.</w:t>
      </w:r>
    </w:p>
    <w:p w14:paraId="218B6BED" w14:textId="77777777" w:rsidR="00445B46" w:rsidRDefault="00445B46" w:rsidP="00445B46">
      <w:pPr>
        <w:pStyle w:val="NoSpacing"/>
        <w:numPr>
          <w:ilvl w:val="0"/>
          <w:numId w:val="7"/>
        </w:numPr>
      </w:pPr>
      <w:r w:rsidRPr="00577462">
        <w:t>The interior and exterior of the valve shall be coated with</w:t>
      </w:r>
      <w:r>
        <w:t xml:space="preserve"> either</w:t>
      </w:r>
      <w:r w:rsidRPr="00577462">
        <w:t xml:space="preserve"> an NSF-61 approved fusion-bonded</w:t>
      </w:r>
      <w:r>
        <w:t xml:space="preserve"> epoxy</w:t>
      </w:r>
      <w:r w:rsidRPr="00577462">
        <w:t xml:space="preserve"> or NSF-61 approved two-part epoxy. </w:t>
      </w:r>
    </w:p>
    <w:p w14:paraId="2C601B51" w14:textId="7C86E537" w:rsidR="00763207" w:rsidRDefault="00763207" w:rsidP="00445B46">
      <w:pPr>
        <w:pStyle w:val="NoSpacing"/>
        <w:numPr>
          <w:ilvl w:val="0"/>
          <w:numId w:val="7"/>
        </w:numPr>
      </w:pPr>
      <w:r w:rsidRPr="00763207">
        <w:t>Each valve shall have ma</w:t>
      </w:r>
      <w:r>
        <w:t>nufacturer</w:t>
      </w:r>
      <w:r w:rsidRPr="00763207">
        <w:t>’s name, pressure rating, and year in which it was manufactured cast in the body.</w:t>
      </w:r>
    </w:p>
    <w:p w14:paraId="2BA115BA" w14:textId="59221FEF" w:rsidR="00DE47DC" w:rsidRPr="00577462" w:rsidRDefault="00DE47DC" w:rsidP="00445B46">
      <w:pPr>
        <w:pStyle w:val="NoSpacing"/>
        <w:numPr>
          <w:ilvl w:val="0"/>
          <w:numId w:val="7"/>
        </w:numPr>
      </w:pPr>
      <w:r>
        <w:t xml:space="preserve">Valve sizes 4” through 48” shall be capable of accepting a </w:t>
      </w:r>
      <w:r w:rsidR="00E725B7">
        <w:t>full-size</w:t>
      </w:r>
      <w:r>
        <w:t xml:space="preserve"> tapping cutter. </w:t>
      </w:r>
    </w:p>
    <w:p w14:paraId="1FF5D6F0" w14:textId="64D93904" w:rsidR="009A7D74" w:rsidRDefault="009A7D74" w:rsidP="00B067C8">
      <w:pPr>
        <w:pStyle w:val="NoSpacing"/>
      </w:pPr>
    </w:p>
    <w:p w14:paraId="593E2408" w14:textId="07F956A6" w:rsidR="00701FC3" w:rsidRPr="00175927" w:rsidRDefault="00701FC3" w:rsidP="00701FC3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 w:rsidR="00830356">
        <w:rPr>
          <w:b/>
          <w:bCs/>
        </w:rPr>
        <w:t>3</w:t>
      </w:r>
      <w:r>
        <w:rPr>
          <w:b/>
          <w:bCs/>
        </w:rPr>
        <w:t xml:space="preserve"> – </w:t>
      </w:r>
      <w:r w:rsidR="00830356">
        <w:rPr>
          <w:b/>
          <w:bCs/>
        </w:rPr>
        <w:t>INSTALLATION</w:t>
      </w:r>
    </w:p>
    <w:p w14:paraId="74527A5F" w14:textId="3081493B" w:rsidR="00604E93" w:rsidRDefault="00387877" w:rsidP="00387877">
      <w:pPr>
        <w:pStyle w:val="NoSpacing"/>
        <w:numPr>
          <w:ilvl w:val="0"/>
          <w:numId w:val="10"/>
        </w:numPr>
      </w:pPr>
      <w:r w:rsidRPr="00387877">
        <w:t>Vertical installation</w:t>
      </w:r>
      <w:r w:rsidR="00AC6BFE">
        <w:t xml:space="preserve"> orientations</w:t>
      </w:r>
      <w:r w:rsidRPr="00387877">
        <w:t xml:space="preserve"> are preferred whenever possible, </w:t>
      </w:r>
      <w:r w:rsidR="001641B3">
        <w:t>allowing</w:t>
      </w:r>
      <w:r w:rsidRPr="00387877">
        <w:t xml:space="preserve"> gravity to assist with valve closure, resulting in lower operating torque requirements</w:t>
      </w:r>
      <w:r>
        <w:t>.</w:t>
      </w:r>
    </w:p>
    <w:sectPr w:rsidR="00604E93" w:rsidSect="00263CD4">
      <w:headerReference w:type="default" r:id="rId11"/>
      <w:pgSz w:w="12240" w:h="15840"/>
      <w:pgMar w:top="198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40F5" w14:textId="77777777" w:rsidR="00F46F9A" w:rsidRDefault="00F46F9A" w:rsidP="00175927">
      <w:pPr>
        <w:spacing w:after="0" w:line="240" w:lineRule="auto"/>
      </w:pPr>
      <w:r>
        <w:separator/>
      </w:r>
    </w:p>
  </w:endnote>
  <w:endnote w:type="continuationSeparator" w:id="0">
    <w:p w14:paraId="7EDED7FD" w14:textId="77777777" w:rsidR="00F46F9A" w:rsidRDefault="00F46F9A" w:rsidP="00175927">
      <w:pPr>
        <w:spacing w:after="0" w:line="240" w:lineRule="auto"/>
      </w:pPr>
      <w:r>
        <w:continuationSeparator/>
      </w:r>
    </w:p>
  </w:endnote>
  <w:endnote w:type="continuationNotice" w:id="1">
    <w:p w14:paraId="1742CC99" w14:textId="77777777" w:rsidR="00F46F9A" w:rsidRDefault="00F46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78B2" w14:textId="77777777" w:rsidR="00F46F9A" w:rsidRDefault="00F46F9A" w:rsidP="00175927">
      <w:pPr>
        <w:spacing w:after="0" w:line="240" w:lineRule="auto"/>
      </w:pPr>
      <w:r>
        <w:separator/>
      </w:r>
    </w:p>
  </w:footnote>
  <w:footnote w:type="continuationSeparator" w:id="0">
    <w:p w14:paraId="01DE36F5" w14:textId="77777777" w:rsidR="00F46F9A" w:rsidRDefault="00F46F9A" w:rsidP="00175927">
      <w:pPr>
        <w:spacing w:after="0" w:line="240" w:lineRule="auto"/>
      </w:pPr>
      <w:r>
        <w:continuationSeparator/>
      </w:r>
    </w:p>
  </w:footnote>
  <w:footnote w:type="continuationNotice" w:id="1">
    <w:p w14:paraId="226CF09D" w14:textId="77777777" w:rsidR="00F46F9A" w:rsidRDefault="00F46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5EA4E374" w:rsidR="00F627D0" w:rsidRPr="00F627D0" w:rsidRDefault="00B10947" w:rsidP="00F627D0">
    <w:pPr>
      <w:pStyle w:val="Header"/>
      <w:rPr>
        <w:rFonts w:asciiTheme="majorHAnsi" w:hAnsiTheme="majorHAnsi"/>
      </w:rPr>
    </w:pPr>
    <w:r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395437E" wp14:editId="6464EF1E">
              <wp:simplePos x="0" y="0"/>
              <wp:positionH relativeFrom="column">
                <wp:posOffset>4772025</wp:posOffset>
              </wp:positionH>
              <wp:positionV relativeFrom="paragraph">
                <wp:posOffset>19050</wp:posOffset>
              </wp:positionV>
              <wp:extent cx="145732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6B634A2C" w:rsidR="002B345D" w:rsidRPr="00EB0631" w:rsidRDefault="00CD2F4D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RW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-SS0001-A</w:t>
                          </w:r>
                        </w:p>
                        <w:p w14:paraId="46F90078" w14:textId="54461EF2" w:rsidR="002B345D" w:rsidRPr="00EB0631" w:rsidRDefault="009D71A9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December 17</w:t>
                          </w:r>
                          <w:r w:rsidR="002B345D"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, 2025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75pt;margin-top:1.5pt;width:114.7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UaCwIAAPYDAAAOAAAAZHJzL2Uyb0RvYy54bWysU9uO0zAQfUfiHyy/07Slpd2o6WrpUoS0&#10;XKSFD3Acp7FwPGbsNilfz9jJdgu8IfJgeTIzZ2bOHG9u+9awk0KvwRZ8NplypqyESttDwb993b9a&#10;c+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" stroked="f">
              <v:textbox>
                <w:txbxContent>
                  <w:p w14:paraId="0555957D" w14:textId="6B634A2C" w:rsidR="002B345D" w:rsidRPr="00EB0631" w:rsidRDefault="00CD2F4D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RW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-SS0001-A</w:t>
                    </w:r>
                  </w:p>
                  <w:p w14:paraId="46F90078" w14:textId="54461EF2" w:rsidR="002B345D" w:rsidRPr="00EB0631" w:rsidRDefault="009D71A9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December 17</w:t>
                    </w:r>
                    <w:r w:rsidR="002B345D"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>, 2025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7241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7DA2A5" wp14:editId="7990A599">
              <wp:simplePos x="0" y="0"/>
              <wp:positionH relativeFrom="column">
                <wp:posOffset>-152400</wp:posOffset>
              </wp:positionH>
              <wp:positionV relativeFrom="paragraph">
                <wp:posOffset>19050</wp:posOffset>
              </wp:positionV>
              <wp:extent cx="2314575" cy="4857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8E806" w14:textId="4D68074D" w:rsidR="00667241" w:rsidRPr="00EB0631" w:rsidRDefault="000D49BA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RESILIENT SEATED GATE VALVE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DA2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pt;margin-top:1.5pt;width:182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" stroked="f">
              <v:textbox>
                <w:txbxContent>
                  <w:p w14:paraId="5BD8E806" w14:textId="4D68074D" w:rsidR="00667241" w:rsidRPr="00EB0631" w:rsidRDefault="000D49BA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RESILIENT SEATED GATE VALVE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739D" w:rsidRPr="005A5E95">
      <w:rPr>
        <w:noProof/>
      </w:rPr>
      <w:drawing>
        <wp:anchor distT="0" distB="0" distL="114300" distR="114300" simplePos="0" relativeHeight="251669504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744294329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39D" w:rsidRPr="005A5E95">
      <w:rPr>
        <w:noProof/>
      </w:rPr>
      <w:drawing>
        <wp:anchor distT="0" distB="0" distL="114300" distR="114300" simplePos="0" relativeHeight="251670528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2013932105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739D" w:rsidRPr="002B345D">
      <w:rPr>
        <w:rFonts w:asciiTheme="majorHAnsi" w:hAnsiTheme="majorHAnsi"/>
        <w:noProof/>
      </w:rPr>
      <w:drawing>
        <wp:anchor distT="0" distB="0" distL="114300" distR="114300" simplePos="0" relativeHeight="251668480" behindDoc="0" locked="0" layoutInCell="1" allowOverlap="1" wp14:anchorId="3016AC1E" wp14:editId="321E609E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78948449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67456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36892943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1039F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E22"/>
    <w:multiLevelType w:val="hybridMultilevel"/>
    <w:tmpl w:val="71067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9"/>
  </w:num>
  <w:num w:numId="7" w16cid:durableId="1976064211">
    <w:abstractNumId w:val="8"/>
  </w:num>
  <w:num w:numId="8" w16cid:durableId="1212115432">
    <w:abstractNumId w:val="2"/>
  </w:num>
  <w:num w:numId="9" w16cid:durableId="1628968504">
    <w:abstractNumId w:val="7"/>
  </w:num>
  <w:num w:numId="10" w16cid:durableId="1933974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10E27"/>
    <w:rsid w:val="000127E4"/>
    <w:rsid w:val="00021A8E"/>
    <w:rsid w:val="00022DC9"/>
    <w:rsid w:val="00024C07"/>
    <w:rsid w:val="00024DE6"/>
    <w:rsid w:val="000475D3"/>
    <w:rsid w:val="0006539E"/>
    <w:rsid w:val="00065AFE"/>
    <w:rsid w:val="000759F8"/>
    <w:rsid w:val="00075BFD"/>
    <w:rsid w:val="00096F86"/>
    <w:rsid w:val="000A52C4"/>
    <w:rsid w:val="000D49BA"/>
    <w:rsid w:val="000E5E3C"/>
    <w:rsid w:val="000E7230"/>
    <w:rsid w:val="000E7B39"/>
    <w:rsid w:val="0010466E"/>
    <w:rsid w:val="00117609"/>
    <w:rsid w:val="00146ED8"/>
    <w:rsid w:val="001533BF"/>
    <w:rsid w:val="0016041B"/>
    <w:rsid w:val="001641B3"/>
    <w:rsid w:val="00175927"/>
    <w:rsid w:val="00192848"/>
    <w:rsid w:val="001B0611"/>
    <w:rsid w:val="001B1376"/>
    <w:rsid w:val="001B7D1B"/>
    <w:rsid w:val="001C674B"/>
    <w:rsid w:val="001D794B"/>
    <w:rsid w:val="001F2E66"/>
    <w:rsid w:val="001F46A4"/>
    <w:rsid w:val="001F7B44"/>
    <w:rsid w:val="0020359D"/>
    <w:rsid w:val="00213346"/>
    <w:rsid w:val="00217671"/>
    <w:rsid w:val="00217F65"/>
    <w:rsid w:val="00222502"/>
    <w:rsid w:val="00225774"/>
    <w:rsid w:val="0023229E"/>
    <w:rsid w:val="00235273"/>
    <w:rsid w:val="0024773D"/>
    <w:rsid w:val="00252C43"/>
    <w:rsid w:val="00263CD4"/>
    <w:rsid w:val="002807A7"/>
    <w:rsid w:val="0028211C"/>
    <w:rsid w:val="0028307E"/>
    <w:rsid w:val="00290735"/>
    <w:rsid w:val="00290CF8"/>
    <w:rsid w:val="002917F1"/>
    <w:rsid w:val="002A7907"/>
    <w:rsid w:val="002B345D"/>
    <w:rsid w:val="002D0622"/>
    <w:rsid w:val="002D6FA0"/>
    <w:rsid w:val="002D7FE6"/>
    <w:rsid w:val="002F0E1B"/>
    <w:rsid w:val="002F3CA9"/>
    <w:rsid w:val="002F5AC1"/>
    <w:rsid w:val="00316CA0"/>
    <w:rsid w:val="00337EC4"/>
    <w:rsid w:val="00352863"/>
    <w:rsid w:val="003723F4"/>
    <w:rsid w:val="00373F2D"/>
    <w:rsid w:val="003857E1"/>
    <w:rsid w:val="00387877"/>
    <w:rsid w:val="00390BFB"/>
    <w:rsid w:val="003A3EE9"/>
    <w:rsid w:val="003B0002"/>
    <w:rsid w:val="003C1810"/>
    <w:rsid w:val="003C72E1"/>
    <w:rsid w:val="003D3895"/>
    <w:rsid w:val="003E21D7"/>
    <w:rsid w:val="003F00A0"/>
    <w:rsid w:val="003F151B"/>
    <w:rsid w:val="003F6D3E"/>
    <w:rsid w:val="0042573C"/>
    <w:rsid w:val="00432045"/>
    <w:rsid w:val="00445B46"/>
    <w:rsid w:val="004513DF"/>
    <w:rsid w:val="004677CE"/>
    <w:rsid w:val="004742E9"/>
    <w:rsid w:val="0047452E"/>
    <w:rsid w:val="004911B4"/>
    <w:rsid w:val="004B476A"/>
    <w:rsid w:val="004C34A2"/>
    <w:rsid w:val="004C6F35"/>
    <w:rsid w:val="004C7A74"/>
    <w:rsid w:val="004D5655"/>
    <w:rsid w:val="005027AD"/>
    <w:rsid w:val="00527268"/>
    <w:rsid w:val="00536CA7"/>
    <w:rsid w:val="005421C4"/>
    <w:rsid w:val="005429E6"/>
    <w:rsid w:val="00556625"/>
    <w:rsid w:val="005650B6"/>
    <w:rsid w:val="0057153B"/>
    <w:rsid w:val="00577F14"/>
    <w:rsid w:val="00580B49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5F75B2"/>
    <w:rsid w:val="00604E93"/>
    <w:rsid w:val="0061094F"/>
    <w:rsid w:val="00612FD2"/>
    <w:rsid w:val="00620CE9"/>
    <w:rsid w:val="00623E59"/>
    <w:rsid w:val="006416DF"/>
    <w:rsid w:val="006534E4"/>
    <w:rsid w:val="00654293"/>
    <w:rsid w:val="006556B9"/>
    <w:rsid w:val="00655B89"/>
    <w:rsid w:val="00660E08"/>
    <w:rsid w:val="00667241"/>
    <w:rsid w:val="006911A6"/>
    <w:rsid w:val="00694BD0"/>
    <w:rsid w:val="006B282E"/>
    <w:rsid w:val="006B697D"/>
    <w:rsid w:val="006C017B"/>
    <w:rsid w:val="006C5581"/>
    <w:rsid w:val="006D1842"/>
    <w:rsid w:val="006D67B0"/>
    <w:rsid w:val="006E0608"/>
    <w:rsid w:val="00701FC3"/>
    <w:rsid w:val="00732DCE"/>
    <w:rsid w:val="00733DC2"/>
    <w:rsid w:val="007356F9"/>
    <w:rsid w:val="00743D7D"/>
    <w:rsid w:val="0074679A"/>
    <w:rsid w:val="00763207"/>
    <w:rsid w:val="00783167"/>
    <w:rsid w:val="007871C3"/>
    <w:rsid w:val="007A3EB4"/>
    <w:rsid w:val="007B2D3B"/>
    <w:rsid w:val="007B4121"/>
    <w:rsid w:val="007C0B57"/>
    <w:rsid w:val="007C3069"/>
    <w:rsid w:val="007C6A9D"/>
    <w:rsid w:val="007E4683"/>
    <w:rsid w:val="007E7A46"/>
    <w:rsid w:val="00803951"/>
    <w:rsid w:val="00805DB6"/>
    <w:rsid w:val="00830356"/>
    <w:rsid w:val="00843C67"/>
    <w:rsid w:val="0084739D"/>
    <w:rsid w:val="008570DA"/>
    <w:rsid w:val="00860A80"/>
    <w:rsid w:val="00862552"/>
    <w:rsid w:val="00863A51"/>
    <w:rsid w:val="00867740"/>
    <w:rsid w:val="00870992"/>
    <w:rsid w:val="00873617"/>
    <w:rsid w:val="00896EA8"/>
    <w:rsid w:val="008A7EC4"/>
    <w:rsid w:val="008B2BB2"/>
    <w:rsid w:val="008B4A46"/>
    <w:rsid w:val="008B7407"/>
    <w:rsid w:val="008C2235"/>
    <w:rsid w:val="008D5370"/>
    <w:rsid w:val="008D6C88"/>
    <w:rsid w:val="008E09BF"/>
    <w:rsid w:val="008E23B7"/>
    <w:rsid w:val="00910E68"/>
    <w:rsid w:val="00916E20"/>
    <w:rsid w:val="00921054"/>
    <w:rsid w:val="00955A2C"/>
    <w:rsid w:val="00963455"/>
    <w:rsid w:val="009749BC"/>
    <w:rsid w:val="009776A2"/>
    <w:rsid w:val="00981023"/>
    <w:rsid w:val="009A1282"/>
    <w:rsid w:val="009A177D"/>
    <w:rsid w:val="009A4F03"/>
    <w:rsid w:val="009A7D74"/>
    <w:rsid w:val="009B6568"/>
    <w:rsid w:val="009C5AF8"/>
    <w:rsid w:val="009C72CD"/>
    <w:rsid w:val="009D71A9"/>
    <w:rsid w:val="009E04D6"/>
    <w:rsid w:val="009E79B4"/>
    <w:rsid w:val="009F4D38"/>
    <w:rsid w:val="00A03F2B"/>
    <w:rsid w:val="00A10888"/>
    <w:rsid w:val="00A33378"/>
    <w:rsid w:val="00A54EFA"/>
    <w:rsid w:val="00A6111A"/>
    <w:rsid w:val="00A62F46"/>
    <w:rsid w:val="00A7050F"/>
    <w:rsid w:val="00A87468"/>
    <w:rsid w:val="00A97687"/>
    <w:rsid w:val="00AA2493"/>
    <w:rsid w:val="00AA5310"/>
    <w:rsid w:val="00AA5D59"/>
    <w:rsid w:val="00AC6BFE"/>
    <w:rsid w:val="00AD35E3"/>
    <w:rsid w:val="00AD5F52"/>
    <w:rsid w:val="00AE1499"/>
    <w:rsid w:val="00AE2D13"/>
    <w:rsid w:val="00AF2C16"/>
    <w:rsid w:val="00AF64AD"/>
    <w:rsid w:val="00B067C8"/>
    <w:rsid w:val="00B10947"/>
    <w:rsid w:val="00B10A75"/>
    <w:rsid w:val="00B148EA"/>
    <w:rsid w:val="00B42BB8"/>
    <w:rsid w:val="00B63DA2"/>
    <w:rsid w:val="00B8362E"/>
    <w:rsid w:val="00B8751A"/>
    <w:rsid w:val="00B93900"/>
    <w:rsid w:val="00BA1B0A"/>
    <w:rsid w:val="00BC1206"/>
    <w:rsid w:val="00BD5FD0"/>
    <w:rsid w:val="00BF6F73"/>
    <w:rsid w:val="00BF7C02"/>
    <w:rsid w:val="00C004C8"/>
    <w:rsid w:val="00C00EB3"/>
    <w:rsid w:val="00C07D1D"/>
    <w:rsid w:val="00C11B59"/>
    <w:rsid w:val="00C25D64"/>
    <w:rsid w:val="00C40645"/>
    <w:rsid w:val="00C47FED"/>
    <w:rsid w:val="00C51973"/>
    <w:rsid w:val="00C54F46"/>
    <w:rsid w:val="00C90874"/>
    <w:rsid w:val="00C95AC5"/>
    <w:rsid w:val="00CB00A8"/>
    <w:rsid w:val="00CB7BBB"/>
    <w:rsid w:val="00CC322B"/>
    <w:rsid w:val="00CD0B54"/>
    <w:rsid w:val="00CD2F4D"/>
    <w:rsid w:val="00CD5628"/>
    <w:rsid w:val="00CE36E7"/>
    <w:rsid w:val="00CF62EE"/>
    <w:rsid w:val="00D07133"/>
    <w:rsid w:val="00D10586"/>
    <w:rsid w:val="00D13A8E"/>
    <w:rsid w:val="00D2085B"/>
    <w:rsid w:val="00D21ECD"/>
    <w:rsid w:val="00D23F9C"/>
    <w:rsid w:val="00D247BE"/>
    <w:rsid w:val="00D264B5"/>
    <w:rsid w:val="00D414DA"/>
    <w:rsid w:val="00D57DC9"/>
    <w:rsid w:val="00D65222"/>
    <w:rsid w:val="00D73EF2"/>
    <w:rsid w:val="00D76B91"/>
    <w:rsid w:val="00D76BA2"/>
    <w:rsid w:val="00D948EB"/>
    <w:rsid w:val="00D9707A"/>
    <w:rsid w:val="00DB5B41"/>
    <w:rsid w:val="00DC7C6D"/>
    <w:rsid w:val="00DE47DC"/>
    <w:rsid w:val="00DE77C2"/>
    <w:rsid w:val="00DF4B6F"/>
    <w:rsid w:val="00E15054"/>
    <w:rsid w:val="00E26C23"/>
    <w:rsid w:val="00E3703C"/>
    <w:rsid w:val="00E65A47"/>
    <w:rsid w:val="00E725B7"/>
    <w:rsid w:val="00E863ED"/>
    <w:rsid w:val="00EA7DE9"/>
    <w:rsid w:val="00EB03B3"/>
    <w:rsid w:val="00EB0631"/>
    <w:rsid w:val="00EB2351"/>
    <w:rsid w:val="00EC1083"/>
    <w:rsid w:val="00EC1688"/>
    <w:rsid w:val="00EC6D24"/>
    <w:rsid w:val="00ED4FE0"/>
    <w:rsid w:val="00ED7FE7"/>
    <w:rsid w:val="00EF1066"/>
    <w:rsid w:val="00F0000B"/>
    <w:rsid w:val="00F14E6F"/>
    <w:rsid w:val="00F200E8"/>
    <w:rsid w:val="00F46F9A"/>
    <w:rsid w:val="00F544BC"/>
    <w:rsid w:val="00F5708A"/>
    <w:rsid w:val="00F627D0"/>
    <w:rsid w:val="00F73591"/>
    <w:rsid w:val="00F86914"/>
    <w:rsid w:val="00FB0301"/>
    <w:rsid w:val="00FB3BBD"/>
    <w:rsid w:val="00FC218E"/>
    <w:rsid w:val="00FC3436"/>
    <w:rsid w:val="00FC351B"/>
    <w:rsid w:val="00FC703E"/>
    <w:rsid w:val="00FE1FC0"/>
    <w:rsid w:val="00FE3A5B"/>
    <w:rsid w:val="00FE4554"/>
    <w:rsid w:val="00FF1BAB"/>
    <w:rsid w:val="00FF2D36"/>
    <w:rsid w:val="00FF3DFC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3439D544-9612-4AA7-9A2C-A4EBFFB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face0-15ac-47d2-a9e3-aef64cbce924">
      <Terms xmlns="http://schemas.microsoft.com/office/infopath/2007/PartnerControls"/>
    </lcf76f155ced4ddcb4097134ff3c332f>
    <TaxCatchAll xmlns="6a238688-4cd7-4659-93e7-7f22b8d37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2271F3B396B479B07BFC7ADA2CB1F" ma:contentTypeVersion="15" ma:contentTypeDescription="Create a new document." ma:contentTypeScope="" ma:versionID="3d2dcc1a3509f8e95ecbbc47f4e3ddee">
  <xsd:schema xmlns:xsd="http://www.w3.org/2001/XMLSchema" xmlns:xs="http://www.w3.org/2001/XMLSchema" xmlns:p="http://schemas.microsoft.com/office/2006/metadata/properties" xmlns:ns2="a95face0-15ac-47d2-a9e3-aef64cbce924" xmlns:ns3="6a238688-4cd7-4659-93e7-7f22b8d375f7" targetNamespace="http://schemas.microsoft.com/office/2006/metadata/properties" ma:root="true" ma:fieldsID="07adfac2c29b914610793ffe25c61449" ns2:_="" ns3:_="">
    <xsd:import namespace="a95face0-15ac-47d2-a9e3-aef64cbce924"/>
    <xsd:import namespace="6a238688-4cd7-4659-93e7-7f22b8d37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ace0-15ac-47d2-a9e3-aef64cbce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f37cd-7b65-4189-aa03-d6ca5f97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8688-4cd7-4659-93e7-7f22b8d37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38365-78ec-48ab-80cd-f0914c0d715e}" ma:internalName="TaxCatchAll" ma:showField="CatchAllData" ma:web="6a238688-4cd7-4659-93e7-7f22b8d37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3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28727-3DD0-4AE3-8814-3CB9793FE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42</cp:revision>
  <cp:lastPrinted>2025-03-04T19:00:00Z</cp:lastPrinted>
  <dcterms:created xsi:type="dcterms:W3CDTF">2025-07-24T14:45:00Z</dcterms:created>
  <dcterms:modified xsi:type="dcterms:W3CDTF">2025-12-17T18:57:00Z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0x0101003B52271F3B396B479B07BFC7ADA2CB1F</vt:lpwstr>
  </property>
  <property fmtid="{D5CDD505-2E9C-101B-9397-08002B2CF9AE}" pid="3" name="MediaServiceImageTags">
    <vt:lpwstr/>
  </property>
</Properties>
</file>