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B422" w14:textId="5A1A1DBC" w:rsidR="00B067C8" w:rsidRDefault="004B476A" w:rsidP="00263CD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BUTTERFLY</w:t>
      </w:r>
      <w:r w:rsidR="00B067C8" w:rsidRPr="00175927">
        <w:rPr>
          <w:rFonts w:asciiTheme="majorHAnsi" w:hAnsiTheme="majorHAnsi"/>
          <w:b/>
          <w:bCs/>
          <w:sz w:val="32"/>
          <w:szCs w:val="32"/>
        </w:rPr>
        <w:t xml:space="preserve"> VALVES</w:t>
      </w:r>
    </w:p>
    <w:p w14:paraId="4C4634EB" w14:textId="77777777" w:rsidR="0084739D" w:rsidRPr="0084739D" w:rsidRDefault="0084739D" w:rsidP="0084739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F935AE3" w14:textId="614EF4ED" w:rsidR="00B067C8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 w:rsidR="00701FC3">
        <w:rPr>
          <w:b/>
          <w:bCs/>
        </w:rPr>
        <w:t xml:space="preserve"> </w:t>
      </w:r>
    </w:p>
    <w:p w14:paraId="3C3FB102" w14:textId="77777777" w:rsidR="00DC7C6D" w:rsidRPr="00175927" w:rsidRDefault="00DC7C6D" w:rsidP="00B067C8">
      <w:pPr>
        <w:pStyle w:val="NoSpacing"/>
        <w:rPr>
          <w:b/>
          <w:bCs/>
        </w:rPr>
      </w:pPr>
    </w:p>
    <w:p w14:paraId="3161ED27" w14:textId="0027AA0F" w:rsidR="00B067C8" w:rsidRPr="00DC7C6D" w:rsidRDefault="00BF7C02" w:rsidP="00B067C8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 xml:space="preserve">SECTION </w:t>
      </w:r>
      <w:r w:rsidR="004513DF">
        <w:rPr>
          <w:b/>
          <w:bCs/>
        </w:rPr>
        <w:t>COVERS</w:t>
      </w:r>
    </w:p>
    <w:p w14:paraId="343FA097" w14:textId="7DB13C11" w:rsidR="00175927" w:rsidRPr="00B067C8" w:rsidRDefault="004513DF" w:rsidP="00175927">
      <w:pPr>
        <w:pStyle w:val="NoSpacing"/>
        <w:numPr>
          <w:ilvl w:val="0"/>
          <w:numId w:val="2"/>
        </w:numPr>
      </w:pPr>
      <w:r>
        <w:t xml:space="preserve">The </w:t>
      </w:r>
      <w:r w:rsidR="0016041B">
        <w:t xml:space="preserve">design, manufacture, and testing of 3” through </w:t>
      </w:r>
      <w:r w:rsidR="00A97687">
        <w:t>84</w:t>
      </w:r>
      <w:r w:rsidR="0016041B">
        <w:t xml:space="preserve">” </w:t>
      </w:r>
      <w:r w:rsidR="00733DC2">
        <w:t>butterfly</w:t>
      </w:r>
      <w:r w:rsidR="00175927" w:rsidRPr="00B067C8">
        <w:t xml:space="preserve"> valves</w:t>
      </w:r>
      <w:r w:rsidR="0016041B">
        <w:t xml:space="preserve"> </w:t>
      </w:r>
      <w:r w:rsidR="00175927" w:rsidRPr="00B067C8">
        <w:t xml:space="preserve">of </w:t>
      </w:r>
      <w:r w:rsidR="00860A80">
        <w:t>the resilient seated design</w:t>
      </w:r>
      <w:r w:rsidR="00175927" w:rsidRPr="00B067C8">
        <w:t>, for the purpose of providing isolation or throttling control as indicated.</w:t>
      </w:r>
    </w:p>
    <w:p w14:paraId="3181FD2A" w14:textId="2C88FBF5" w:rsidR="00175927" w:rsidRPr="00B067C8" w:rsidRDefault="00175927" w:rsidP="00175927">
      <w:pPr>
        <w:pStyle w:val="NoSpacing"/>
        <w:ind w:left="720"/>
      </w:pPr>
    </w:p>
    <w:p w14:paraId="65D53446" w14:textId="4ED5EE66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REFERENCES</w:t>
      </w:r>
      <w:r w:rsidR="0074679A">
        <w:rPr>
          <w:b/>
          <w:bCs/>
        </w:rPr>
        <w:t xml:space="preserve"> &amp; STANDARDS</w:t>
      </w:r>
    </w:p>
    <w:p w14:paraId="4D62F580" w14:textId="2BB17373" w:rsidR="0020359D" w:rsidRPr="00CE36E7" w:rsidRDefault="0020359D" w:rsidP="00175927">
      <w:pPr>
        <w:pStyle w:val="NoSpacing"/>
        <w:numPr>
          <w:ilvl w:val="0"/>
          <w:numId w:val="3"/>
        </w:numPr>
      </w:pPr>
      <w:r w:rsidRPr="00CE36E7">
        <w:t>AWWA C5</w:t>
      </w:r>
      <w:r w:rsidR="00352863">
        <w:t>04</w:t>
      </w:r>
      <w:r w:rsidR="0074679A" w:rsidRPr="00CE36E7">
        <w:t xml:space="preserve"> “R</w:t>
      </w:r>
      <w:r w:rsidR="00352863">
        <w:t xml:space="preserve">ubber </w:t>
      </w:r>
      <w:r w:rsidR="0074679A" w:rsidRPr="00CE36E7">
        <w:t xml:space="preserve">Seated </w:t>
      </w:r>
      <w:r w:rsidR="00352863">
        <w:t xml:space="preserve">Butterfly </w:t>
      </w:r>
      <w:r w:rsidR="001C674B" w:rsidRPr="00CE36E7">
        <w:t>Valves”</w:t>
      </w:r>
    </w:p>
    <w:p w14:paraId="37DDCAB2" w14:textId="5524E132" w:rsidR="00175927" w:rsidRPr="00B067C8" w:rsidRDefault="00175927" w:rsidP="00175927">
      <w:pPr>
        <w:pStyle w:val="NoSpacing"/>
        <w:numPr>
          <w:ilvl w:val="0"/>
          <w:numId w:val="3"/>
        </w:numPr>
      </w:pPr>
      <w:r w:rsidRPr="00B067C8">
        <w:t xml:space="preserve">ASTM </w:t>
      </w:r>
      <w:r w:rsidR="002D0622">
        <w:t>A</w:t>
      </w:r>
      <w:r w:rsidRPr="00B067C8">
        <w:t>536 "Standard Specification for Ductile Iron Castings"</w:t>
      </w:r>
    </w:p>
    <w:p w14:paraId="14B2504C" w14:textId="48F9ABEC" w:rsidR="00175927" w:rsidRDefault="00175927" w:rsidP="00175927">
      <w:pPr>
        <w:pStyle w:val="NoSpacing"/>
        <w:numPr>
          <w:ilvl w:val="0"/>
          <w:numId w:val="3"/>
        </w:numPr>
      </w:pPr>
      <w:r w:rsidRPr="00B067C8">
        <w:t>ANSI B16.</w:t>
      </w:r>
      <w:r w:rsidR="003857E1">
        <w:t>1</w:t>
      </w:r>
      <w:r w:rsidRPr="00B067C8">
        <w:t xml:space="preserve"> "Pipe Flanges and Flanged Fittings"</w:t>
      </w:r>
    </w:p>
    <w:p w14:paraId="3B811C89" w14:textId="2184657B" w:rsidR="002F3CA9" w:rsidRDefault="002F3CA9" w:rsidP="00175927">
      <w:pPr>
        <w:pStyle w:val="NoSpacing"/>
        <w:numPr>
          <w:ilvl w:val="0"/>
          <w:numId w:val="3"/>
        </w:numPr>
      </w:pPr>
      <w:r w:rsidRPr="002F3CA9">
        <w:t>AWWA C111 “Rubber-Gasketed Joints for Ductile-Iron Pressure Pipe and Fittings”</w:t>
      </w:r>
    </w:p>
    <w:p w14:paraId="66D5140F" w14:textId="7ABDDB2F" w:rsidR="00456B29" w:rsidRPr="00B067C8" w:rsidRDefault="00456B29" w:rsidP="00175927">
      <w:pPr>
        <w:pStyle w:val="NoSpacing"/>
        <w:numPr>
          <w:ilvl w:val="0"/>
          <w:numId w:val="3"/>
        </w:numPr>
      </w:pPr>
      <w:r w:rsidRPr="00B82511">
        <w:t>NSF 61/372 “Drinking Water System Components – Health Effects</w:t>
      </w:r>
      <w:r>
        <w:t>”</w:t>
      </w:r>
    </w:p>
    <w:p w14:paraId="47E27E74" w14:textId="77777777" w:rsidR="00175927" w:rsidRDefault="00175927" w:rsidP="00B067C8">
      <w:pPr>
        <w:pStyle w:val="NoSpacing"/>
      </w:pPr>
    </w:p>
    <w:p w14:paraId="199A4514" w14:textId="50D0F68A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QUALITY ASSURANCE</w:t>
      </w:r>
    </w:p>
    <w:p w14:paraId="6EBC777B" w14:textId="60728693" w:rsidR="00175927" w:rsidRPr="00B067C8" w:rsidRDefault="00175927" w:rsidP="00175927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 w:rsidR="003F151B" w:rsidRPr="00CE36E7">
        <w:t>one</w:t>
      </w:r>
      <w:r w:rsidRPr="00CE36E7">
        <w:t xml:space="preserve"> year (</w:t>
      </w:r>
      <w:r w:rsidR="003F151B" w:rsidRPr="00CE36E7">
        <w:t>12</w:t>
      </w:r>
      <w:r w:rsidRPr="00CE36E7">
        <w:t xml:space="preserve"> months)</w:t>
      </w:r>
      <w:r w:rsidRPr="00B067C8">
        <w:t xml:space="preserve"> from date of shipment</w:t>
      </w:r>
      <w:r w:rsidR="00B4081C">
        <w:t xml:space="preserve"> from MPI</w:t>
      </w:r>
      <w:r w:rsidRPr="00B067C8">
        <w:t>.</w:t>
      </w:r>
    </w:p>
    <w:p w14:paraId="154BB1D1" w14:textId="17A629D3" w:rsidR="00175927" w:rsidRDefault="00175927" w:rsidP="00175927">
      <w:pPr>
        <w:pStyle w:val="NoSpacing"/>
        <w:numPr>
          <w:ilvl w:val="0"/>
          <w:numId w:val="5"/>
        </w:numPr>
      </w:pPr>
      <w:r w:rsidRPr="00B067C8">
        <w:t>Each valve and actuator shall be assembled, adjusted and tested as a unit by the valve manufacturer.</w:t>
      </w:r>
    </w:p>
    <w:p w14:paraId="6B5A71EF" w14:textId="77777777" w:rsidR="00175927" w:rsidRPr="00B067C8" w:rsidRDefault="00175927" w:rsidP="00175927">
      <w:pPr>
        <w:pStyle w:val="NoSpacing"/>
      </w:pPr>
    </w:p>
    <w:p w14:paraId="3165A82C" w14:textId="71C63C02" w:rsidR="00B067C8" w:rsidRPr="00175927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2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PRODUCTS</w:t>
      </w:r>
      <w:r w:rsidR="00701FC3">
        <w:rPr>
          <w:b/>
          <w:bCs/>
        </w:rPr>
        <w:t xml:space="preserve"> </w:t>
      </w:r>
    </w:p>
    <w:p w14:paraId="6437F178" w14:textId="77777777" w:rsidR="00175927" w:rsidRDefault="00175927" w:rsidP="00B067C8">
      <w:pPr>
        <w:pStyle w:val="NoSpacing"/>
      </w:pPr>
    </w:p>
    <w:p w14:paraId="54F60BED" w14:textId="023F3B63" w:rsidR="00175927" w:rsidRPr="00DC7C6D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 xml:space="preserve">2.01 </w:t>
      </w:r>
      <w:r w:rsidR="00981023">
        <w:rPr>
          <w:b/>
          <w:bCs/>
        </w:rPr>
        <w:t xml:space="preserve">     </w:t>
      </w:r>
      <w:r w:rsidRPr="00175927">
        <w:rPr>
          <w:b/>
          <w:bCs/>
        </w:rPr>
        <w:t>ACCEPTABLE MANUFACTURERS</w:t>
      </w:r>
    </w:p>
    <w:p w14:paraId="3B6AE303" w14:textId="7DC55A51" w:rsidR="00175927" w:rsidRDefault="00175927" w:rsidP="00175927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3CE1AAC8" w14:textId="13E3B49D" w:rsidR="005421C4" w:rsidRDefault="005421C4" w:rsidP="005421C4">
      <w:pPr>
        <w:pStyle w:val="NoSpacing"/>
        <w:numPr>
          <w:ilvl w:val="0"/>
          <w:numId w:val="6"/>
        </w:numPr>
      </w:pPr>
      <w:r>
        <w:t>M&amp;H Valve Company</w:t>
      </w:r>
    </w:p>
    <w:p w14:paraId="44C4F6EE" w14:textId="3ECCC7D0" w:rsidR="00175927" w:rsidRDefault="00175927" w:rsidP="00175927">
      <w:pPr>
        <w:pStyle w:val="NoSpacing"/>
        <w:numPr>
          <w:ilvl w:val="0"/>
          <w:numId w:val="6"/>
        </w:numPr>
      </w:pPr>
      <w:r>
        <w:t>Kennedy Valve</w:t>
      </w:r>
    </w:p>
    <w:p w14:paraId="78B69AA8" w14:textId="018ECE78" w:rsidR="00175927" w:rsidRDefault="00175927" w:rsidP="00175927">
      <w:pPr>
        <w:pStyle w:val="NoSpacing"/>
        <w:numPr>
          <w:ilvl w:val="0"/>
          <w:numId w:val="6"/>
        </w:numPr>
      </w:pPr>
      <w:r>
        <w:t>Clow Valve</w:t>
      </w:r>
    </w:p>
    <w:p w14:paraId="00A7806D" w14:textId="5E937AE1" w:rsidR="00B067C8" w:rsidRPr="00B067C8" w:rsidRDefault="00B067C8" w:rsidP="00B067C8">
      <w:pPr>
        <w:pStyle w:val="NoSpacing"/>
      </w:pPr>
    </w:p>
    <w:p w14:paraId="3FE4B707" w14:textId="6C67CAF0" w:rsidR="00175927" w:rsidRPr="00DC7C6D" w:rsidRDefault="003F151B" w:rsidP="00B067C8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</w:t>
      </w:r>
      <w:r w:rsidR="00981023">
        <w:rPr>
          <w:b/>
          <w:bCs/>
        </w:rPr>
        <w:t xml:space="preserve">     </w:t>
      </w:r>
      <w:r w:rsidR="004B476A">
        <w:rPr>
          <w:b/>
          <w:bCs/>
        </w:rPr>
        <w:t>SEAT ON DISC</w:t>
      </w:r>
      <w:r w:rsidR="00B067C8" w:rsidRPr="00175927">
        <w:rPr>
          <w:b/>
          <w:bCs/>
        </w:rPr>
        <w:t xml:space="preserve"> </w:t>
      </w:r>
      <w:r w:rsidR="004B476A">
        <w:rPr>
          <w:b/>
          <w:bCs/>
        </w:rPr>
        <w:t>BUTTERFLY</w:t>
      </w:r>
      <w:r w:rsidR="00B067C8" w:rsidRPr="00175927">
        <w:rPr>
          <w:b/>
          <w:bCs/>
        </w:rPr>
        <w:t xml:space="preserve"> VALVES</w:t>
      </w:r>
    </w:p>
    <w:p w14:paraId="3FEFB95A" w14:textId="3EE17690" w:rsidR="003F00A0" w:rsidRDefault="00FF2D36" w:rsidP="00175927">
      <w:pPr>
        <w:pStyle w:val="NoSpacing"/>
        <w:numPr>
          <w:ilvl w:val="0"/>
          <w:numId w:val="7"/>
        </w:numPr>
      </w:pPr>
      <w:r>
        <w:t>V</w:t>
      </w:r>
      <w:r w:rsidR="00D65222">
        <w:t>alve b</w:t>
      </w:r>
      <w:r w:rsidR="003F151B" w:rsidRPr="00B067C8">
        <w:t>od</w:t>
      </w:r>
      <w:r w:rsidR="00CB7BBB">
        <w:t xml:space="preserve">y </w:t>
      </w:r>
      <w:r w:rsidR="003F151B" w:rsidRPr="00B067C8">
        <w:t xml:space="preserve">shall be </w:t>
      </w:r>
      <w:r w:rsidR="00021A8E">
        <w:t>d</w:t>
      </w:r>
      <w:r w:rsidR="003F151B" w:rsidRPr="00B067C8">
        <w:t xml:space="preserve">uctile </w:t>
      </w:r>
      <w:r w:rsidR="00021A8E">
        <w:t>i</w:t>
      </w:r>
      <w:r w:rsidR="003F151B" w:rsidRPr="00B067C8">
        <w:t>ron</w:t>
      </w:r>
      <w:r w:rsidR="009E04D6" w:rsidRPr="009E04D6">
        <w:t xml:space="preserve"> </w:t>
      </w:r>
      <w:r w:rsidR="009E04D6">
        <w:t>per ASTM A536</w:t>
      </w:r>
      <w:r w:rsidR="00783167">
        <w:t xml:space="preserve"> with </w:t>
      </w:r>
      <w:r w:rsidR="00873617">
        <w:t>ASTM</w:t>
      </w:r>
      <w:r w:rsidR="00217F65">
        <w:t xml:space="preserve"> A276 </w:t>
      </w:r>
      <w:r w:rsidR="00B8362E">
        <w:t xml:space="preserve">T316 stainless </w:t>
      </w:r>
      <w:r w:rsidR="000E7230">
        <w:t>steel</w:t>
      </w:r>
      <w:r w:rsidR="00B8362E">
        <w:t xml:space="preserve"> seat ring. </w:t>
      </w:r>
    </w:p>
    <w:p w14:paraId="79A8BDDE" w14:textId="041C494A" w:rsidR="00065AFE" w:rsidRDefault="00FF2D36" w:rsidP="00577F14">
      <w:pPr>
        <w:pStyle w:val="NoSpacing"/>
        <w:numPr>
          <w:ilvl w:val="0"/>
          <w:numId w:val="7"/>
        </w:numPr>
      </w:pPr>
      <w:r>
        <w:t xml:space="preserve">Valve disc </w:t>
      </w:r>
      <w:r w:rsidRPr="00B067C8">
        <w:t xml:space="preserve">shall be </w:t>
      </w:r>
      <w:r>
        <w:t>d</w:t>
      </w:r>
      <w:r w:rsidRPr="00B067C8">
        <w:t xml:space="preserve">uctile </w:t>
      </w:r>
      <w:r>
        <w:t>i</w:t>
      </w:r>
      <w:r w:rsidRPr="00B067C8">
        <w:t>ron</w:t>
      </w:r>
      <w:r w:rsidRPr="009E04D6">
        <w:t xml:space="preserve"> </w:t>
      </w:r>
      <w:r>
        <w:t>per ASTM A536</w:t>
      </w:r>
      <w:r w:rsidRPr="00B067C8">
        <w:t>.</w:t>
      </w:r>
      <w:r>
        <w:t xml:space="preserve"> </w:t>
      </w:r>
    </w:p>
    <w:p w14:paraId="45FC59D4" w14:textId="10195622" w:rsidR="00456B29" w:rsidRPr="00B067C8" w:rsidRDefault="00456B29" w:rsidP="00456B29">
      <w:pPr>
        <w:pStyle w:val="NoSpacing"/>
        <w:numPr>
          <w:ilvl w:val="0"/>
          <w:numId w:val="7"/>
        </w:numPr>
      </w:pPr>
      <w:r>
        <w:t>The vertical centerline of the valve disc shall be offset from the axial centerline of the valve shaft.</w:t>
      </w:r>
    </w:p>
    <w:p w14:paraId="7D607D02" w14:textId="2761698D" w:rsidR="00065AFE" w:rsidRDefault="00C00EB3" w:rsidP="00175927">
      <w:pPr>
        <w:pStyle w:val="NoSpacing"/>
        <w:numPr>
          <w:ilvl w:val="0"/>
          <w:numId w:val="7"/>
        </w:numPr>
      </w:pPr>
      <w:r>
        <w:t xml:space="preserve">Valve </w:t>
      </w:r>
      <w:proofErr w:type="gramStart"/>
      <w:r>
        <w:t>seat</w:t>
      </w:r>
      <w:proofErr w:type="gramEnd"/>
      <w:r>
        <w:t xml:space="preserve"> shall be EPDM and securely fastened </w:t>
      </w:r>
      <w:r w:rsidR="006D1842">
        <w:t>to the valve disc utilizing a T304 stainless steel retaining ring</w:t>
      </w:r>
      <w:r w:rsidR="00620CE9">
        <w:t xml:space="preserve"> and fasteners. The </w:t>
      </w:r>
      <w:r w:rsidR="00AA5310">
        <w:t xml:space="preserve">seat must be easily field adjustable and replaceable without </w:t>
      </w:r>
      <w:r w:rsidR="000127E4">
        <w:t xml:space="preserve">the need for special tools. </w:t>
      </w:r>
      <w:r w:rsidR="00E863ED">
        <w:t xml:space="preserve"> </w:t>
      </w:r>
    </w:p>
    <w:p w14:paraId="2DAB97FF" w14:textId="58DE2FB9" w:rsidR="002807A7" w:rsidRPr="00FE1FC0" w:rsidRDefault="00075BFD" w:rsidP="00175927">
      <w:pPr>
        <w:pStyle w:val="NoSpacing"/>
        <w:numPr>
          <w:ilvl w:val="0"/>
          <w:numId w:val="7"/>
        </w:numPr>
      </w:pPr>
      <w:r>
        <w:t xml:space="preserve">Valve shafts </w:t>
      </w:r>
      <w:r w:rsidR="001F2E66">
        <w:t xml:space="preserve">shall be </w:t>
      </w:r>
      <w:r w:rsidR="00F544BC">
        <w:t xml:space="preserve">ASTM A276 </w:t>
      </w:r>
      <w:r w:rsidR="00D264B5">
        <w:t>T</w:t>
      </w:r>
      <w:r w:rsidR="00235273">
        <w:t>304 stainless steel for class 150B</w:t>
      </w:r>
      <w:r w:rsidR="002F0E1B">
        <w:t xml:space="preserve"> or </w:t>
      </w:r>
      <w:r w:rsidR="00F544BC">
        <w:t xml:space="preserve">ASTM </w:t>
      </w:r>
      <w:r w:rsidR="00873617">
        <w:t xml:space="preserve">A564 </w:t>
      </w:r>
      <w:r w:rsidR="00D264B5">
        <w:t>T</w:t>
      </w:r>
      <w:r w:rsidR="002F0E1B">
        <w:t xml:space="preserve">630 stainless steel for class 250B. </w:t>
      </w:r>
      <w:r w:rsidR="00316CA0">
        <w:t xml:space="preserve">Shafts shall be of one-piece design </w:t>
      </w:r>
      <w:r w:rsidR="00843C67">
        <w:t>for valve sizes 12” and smaller, and two-piece design for valves 14” and larger</w:t>
      </w:r>
      <w:r w:rsidR="004677CE">
        <w:t>.</w:t>
      </w:r>
    </w:p>
    <w:p w14:paraId="319E8752" w14:textId="29BA22A4" w:rsidR="00456B29" w:rsidRDefault="00456B29" w:rsidP="009B6568">
      <w:pPr>
        <w:pStyle w:val="NoSpacing"/>
        <w:numPr>
          <w:ilvl w:val="0"/>
          <w:numId w:val="7"/>
        </w:numPr>
      </w:pPr>
      <w:r w:rsidRPr="00A21D9E">
        <w:t>Shaft seal shall consist of EPDM multiple V-ring type packing for valve sizes 3”-24”. 30” and larger valves may utilize V-packing or O-ring type shaft seal</w:t>
      </w:r>
      <w:r>
        <w:t>.</w:t>
      </w:r>
    </w:p>
    <w:p w14:paraId="52B46D8D" w14:textId="704DEE09" w:rsidR="003F00A0" w:rsidRDefault="003F00A0" w:rsidP="009B6568">
      <w:pPr>
        <w:pStyle w:val="NoSpacing"/>
        <w:numPr>
          <w:ilvl w:val="0"/>
          <w:numId w:val="7"/>
        </w:numPr>
      </w:pPr>
      <w:r w:rsidRPr="003F151B">
        <w:t xml:space="preserve">Bearings shall be </w:t>
      </w:r>
      <w:proofErr w:type="gramStart"/>
      <w:r w:rsidRPr="003F151B">
        <w:t>sleeve</w:t>
      </w:r>
      <w:proofErr w:type="gramEnd"/>
      <w:r w:rsidRPr="003F151B">
        <w:t xml:space="preserve"> type</w:t>
      </w:r>
      <w:r w:rsidR="007A3EB4">
        <w:t xml:space="preserve">, </w:t>
      </w:r>
      <w:r w:rsidRPr="003F151B">
        <w:t xml:space="preserve">permanently lubricated </w:t>
      </w:r>
      <w:proofErr w:type="spellStart"/>
      <w:r w:rsidR="003B0002">
        <w:t>nylatron</w:t>
      </w:r>
      <w:proofErr w:type="spellEnd"/>
      <w:r w:rsidR="00A03F2B">
        <w:t xml:space="preserve"> </w:t>
      </w:r>
      <w:r w:rsidR="00660E08">
        <w:t>for 3”-</w:t>
      </w:r>
      <w:r w:rsidR="005027AD">
        <w:t xml:space="preserve">24” </w:t>
      </w:r>
      <w:r w:rsidR="00660E08">
        <w:t xml:space="preserve">sizes </w:t>
      </w:r>
      <w:r w:rsidR="005027AD">
        <w:t xml:space="preserve">and stainless steel-backed PTFE for 30” and larger. </w:t>
      </w:r>
    </w:p>
    <w:p w14:paraId="7790FF11" w14:textId="60133954" w:rsidR="00CB7BBB" w:rsidRPr="00010E27" w:rsidRDefault="00FC3436" w:rsidP="00CB7BBB">
      <w:pPr>
        <w:pStyle w:val="NoSpacing"/>
        <w:numPr>
          <w:ilvl w:val="0"/>
          <w:numId w:val="7"/>
        </w:numPr>
      </w:pPr>
      <w:r w:rsidRPr="00010E27">
        <w:lastRenderedPageBreak/>
        <w:t xml:space="preserve">Thrust bearings </w:t>
      </w:r>
      <w:r w:rsidR="00FF3DFC">
        <w:t xml:space="preserve">shall be provided on valve sizes </w:t>
      </w:r>
      <w:r w:rsidR="003214A8">
        <w:t>30</w:t>
      </w:r>
      <w:r w:rsidR="00FF3DFC">
        <w:t xml:space="preserve">” and larger and shall be adjustable. </w:t>
      </w:r>
      <w:r w:rsidR="00C004C8" w:rsidRPr="00010E27">
        <w:t xml:space="preserve"> </w:t>
      </w:r>
    </w:p>
    <w:p w14:paraId="74105190" w14:textId="5E8FA627" w:rsidR="003F151B" w:rsidRPr="005A6E00" w:rsidRDefault="003F151B" w:rsidP="00175927">
      <w:pPr>
        <w:pStyle w:val="NoSpacing"/>
        <w:numPr>
          <w:ilvl w:val="0"/>
          <w:numId w:val="7"/>
        </w:numPr>
      </w:pPr>
      <w:r w:rsidRPr="005A6E00">
        <w:t>Pressure ratings shall be 1</w:t>
      </w:r>
      <w:r w:rsidR="00D21ECD">
        <w:t>50</w:t>
      </w:r>
      <w:r w:rsidRPr="005A6E00">
        <w:t xml:space="preserve"> psi </w:t>
      </w:r>
      <w:r w:rsidR="00FC351B">
        <w:t>for class 150B</w:t>
      </w:r>
      <w:r w:rsidRPr="005A6E00">
        <w:t xml:space="preserve"> and </w:t>
      </w:r>
      <w:r w:rsidR="00FC351B">
        <w:t>2</w:t>
      </w:r>
      <w:r w:rsidRPr="005A6E00">
        <w:t xml:space="preserve">50 psi for </w:t>
      </w:r>
      <w:r w:rsidR="00FC351B">
        <w:t>class 250B</w:t>
      </w:r>
      <w:r w:rsidRPr="005A6E00">
        <w:t xml:space="preserve">. </w:t>
      </w:r>
      <w:r w:rsidR="00C51973" w:rsidRPr="005A6E00">
        <w:t xml:space="preserve">Valves shall be </w:t>
      </w:r>
      <w:r w:rsidR="004C34A2" w:rsidRPr="005A6E00">
        <w:t xml:space="preserve">hydrostatically </w:t>
      </w:r>
      <w:r w:rsidR="00B42BB8" w:rsidRPr="005A6E00">
        <w:t xml:space="preserve">shell </w:t>
      </w:r>
      <w:r w:rsidR="004C34A2" w:rsidRPr="005A6E00">
        <w:t xml:space="preserve">tested </w:t>
      </w:r>
      <w:r w:rsidR="00B42BB8" w:rsidRPr="005A6E00">
        <w:t xml:space="preserve">to </w:t>
      </w:r>
      <w:r w:rsidR="00FC351B">
        <w:t>2</w:t>
      </w:r>
      <w:r w:rsidR="00B42BB8" w:rsidRPr="005A6E00">
        <w:t xml:space="preserve"> times the rated pressure</w:t>
      </w:r>
      <w:r w:rsidR="004742E9" w:rsidRPr="005A6E00">
        <w:t xml:space="preserve"> per AWWA C5</w:t>
      </w:r>
      <w:r w:rsidR="000759F8">
        <w:t>04</w:t>
      </w:r>
      <w:r w:rsidR="004742E9" w:rsidRPr="005A6E00">
        <w:t>.</w:t>
      </w:r>
    </w:p>
    <w:p w14:paraId="27904557" w14:textId="49B7E703" w:rsidR="004911B4" w:rsidRDefault="004911B4" w:rsidP="00B067C8">
      <w:pPr>
        <w:pStyle w:val="NoSpacing"/>
        <w:numPr>
          <w:ilvl w:val="0"/>
          <w:numId w:val="7"/>
        </w:numPr>
      </w:pPr>
      <w:r w:rsidRPr="004911B4">
        <w:t>Valve actuator</w:t>
      </w:r>
      <w:r w:rsidR="00AF2C16">
        <w:t xml:space="preserve"> for </w:t>
      </w:r>
      <w:r w:rsidR="004F1576">
        <w:t>valve</w:t>
      </w:r>
      <w:r w:rsidR="003214A8">
        <w:t xml:space="preserve"> sizes</w:t>
      </w:r>
      <w:r w:rsidR="00AF2C16">
        <w:t xml:space="preserve"> 24” and smaller</w:t>
      </w:r>
      <w:r w:rsidRPr="004911B4">
        <w:t xml:space="preserve"> shall be of the traveling nut type, sealed and lubricated for underground or in-plant service. </w:t>
      </w:r>
      <w:r w:rsidR="00C44A6A">
        <w:t>Buried service actuators shall be</w:t>
      </w:r>
      <w:r w:rsidR="00356971">
        <w:t xml:space="preserve"> packed with grease</w:t>
      </w:r>
      <w:r w:rsidR="00C44A6A">
        <w:t xml:space="preserve"> </w:t>
      </w:r>
      <w:r w:rsidR="00356971">
        <w:t xml:space="preserve">and sealed </w:t>
      </w:r>
      <w:r w:rsidR="00F61B55">
        <w:t xml:space="preserve">for temporary submergence to 20 feet of water. </w:t>
      </w:r>
      <w:r w:rsidR="00C44A6A">
        <w:t xml:space="preserve">Actuator </w:t>
      </w:r>
      <w:r w:rsidRPr="004911B4">
        <w:t>shall be capable of withstanding an overload input torque of 450 ft-lbs. at full-open or full</w:t>
      </w:r>
      <w:r w:rsidR="00CF62EE">
        <w:t>-</w:t>
      </w:r>
      <w:r w:rsidRPr="004911B4">
        <w:t xml:space="preserve">closed position without damage to the valve operator. Operators for valves 14 inches and larger must </w:t>
      </w:r>
      <w:r w:rsidR="00CE2027">
        <w:t>be equipped with</w:t>
      </w:r>
      <w:r w:rsidR="000B147F">
        <w:t xml:space="preserve"> externally adjustable</w:t>
      </w:r>
      <w:r w:rsidR="00CE2027">
        <w:t xml:space="preserve"> </w:t>
      </w:r>
      <w:r w:rsidR="00017612">
        <w:t>T304 stainless steel position stops</w:t>
      </w:r>
      <w:r w:rsidR="000B147F">
        <w:t xml:space="preserve">. </w:t>
      </w:r>
      <w:r w:rsidRPr="004911B4">
        <w:t xml:space="preserve"> Certification of proof of design and torque requirements shall be submitted to the owner upon request. </w:t>
      </w:r>
    </w:p>
    <w:p w14:paraId="1B32938B" w14:textId="3264B303" w:rsidR="00AF2C16" w:rsidRDefault="00AF2C16" w:rsidP="00AF2C16">
      <w:pPr>
        <w:pStyle w:val="NoSpacing"/>
        <w:numPr>
          <w:ilvl w:val="0"/>
          <w:numId w:val="7"/>
        </w:numPr>
      </w:pPr>
      <w:r>
        <w:t>Valve sizes 30” and larger</w:t>
      </w:r>
      <w:r w:rsidRPr="00B067C8">
        <w:t xml:space="preserve"> shall be installed with worm gear actuators. All </w:t>
      </w:r>
      <w:proofErr w:type="gramStart"/>
      <w:r w:rsidRPr="00B067C8">
        <w:t>gearing</w:t>
      </w:r>
      <w:proofErr w:type="gramEnd"/>
      <w:r w:rsidRPr="00B067C8">
        <w:t xml:space="preserve"> shall be enclosed in a </w:t>
      </w:r>
      <w:r w:rsidRPr="001D794B">
        <w:t>ductile iron housing</w:t>
      </w:r>
      <w:r w:rsidRPr="00B067C8">
        <w:t xml:space="preserve">, with outboard seals to protect the bearings and other internal components. </w:t>
      </w:r>
      <w:r w:rsidRPr="008E23B7">
        <w:t>The actuator shaft and gear quadrant shall be supported on permanently lubricated bearings.</w:t>
      </w:r>
      <w:r>
        <w:t xml:space="preserve"> </w:t>
      </w:r>
    </w:p>
    <w:p w14:paraId="2E1DAAAB" w14:textId="60F9F9E4" w:rsidR="00BD5FD0" w:rsidRDefault="00BD5FD0" w:rsidP="00B067C8">
      <w:pPr>
        <w:pStyle w:val="NoSpacing"/>
        <w:numPr>
          <w:ilvl w:val="0"/>
          <w:numId w:val="7"/>
        </w:numPr>
      </w:pPr>
      <w:r>
        <w:t>All</w:t>
      </w:r>
      <w:r w:rsidR="0010466E">
        <w:t xml:space="preserve"> valve and actuator</w:t>
      </w:r>
      <w:r>
        <w:t xml:space="preserve"> fasteners shall be stainless ste</w:t>
      </w:r>
      <w:r w:rsidR="0010466E">
        <w:t>e</w:t>
      </w:r>
      <w:r>
        <w:t>l</w:t>
      </w:r>
      <w:r w:rsidR="0010466E">
        <w:t>.</w:t>
      </w:r>
    </w:p>
    <w:p w14:paraId="0616DBFB" w14:textId="03B45883" w:rsidR="0024773D" w:rsidRPr="002917F1" w:rsidRDefault="00022DC9" w:rsidP="00022DC9">
      <w:pPr>
        <w:pStyle w:val="NoSpacing"/>
        <w:numPr>
          <w:ilvl w:val="0"/>
          <w:numId w:val="7"/>
        </w:numPr>
      </w:pPr>
      <w:r w:rsidRPr="002917F1">
        <w:t xml:space="preserve">The interior and exterior of the valve shall be coated with </w:t>
      </w:r>
      <w:r w:rsidR="00146ED8" w:rsidRPr="002917F1">
        <w:t xml:space="preserve">an NSF-61 </w:t>
      </w:r>
      <w:r w:rsidR="002917F1" w:rsidRPr="002917F1">
        <w:t xml:space="preserve">approved </w:t>
      </w:r>
      <w:r w:rsidR="00456B29">
        <w:t>fusion bonded</w:t>
      </w:r>
      <w:r w:rsidRPr="002917F1">
        <w:t xml:space="preserve"> </w:t>
      </w:r>
      <w:r w:rsidR="005901A6" w:rsidRPr="002917F1">
        <w:t>epoxy</w:t>
      </w:r>
      <w:r w:rsidR="00146ED8" w:rsidRPr="002917F1">
        <w:t xml:space="preserve"> coating. </w:t>
      </w:r>
    </w:p>
    <w:p w14:paraId="1FF5D6F0" w14:textId="64D93904" w:rsidR="009A7D74" w:rsidRDefault="009A7D74" w:rsidP="00B067C8">
      <w:pPr>
        <w:pStyle w:val="NoSpacing"/>
      </w:pPr>
    </w:p>
    <w:p w14:paraId="593E2408" w14:textId="07F956A6" w:rsidR="00701FC3" w:rsidRPr="00175927" w:rsidRDefault="00701FC3" w:rsidP="00701FC3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 w:rsidR="00830356">
        <w:rPr>
          <w:b/>
          <w:bCs/>
        </w:rPr>
        <w:t>3</w:t>
      </w:r>
      <w:r>
        <w:rPr>
          <w:b/>
          <w:bCs/>
        </w:rPr>
        <w:t xml:space="preserve"> – </w:t>
      </w:r>
      <w:r w:rsidR="00830356">
        <w:rPr>
          <w:b/>
          <w:bCs/>
        </w:rPr>
        <w:t>INSTALLATION</w:t>
      </w:r>
    </w:p>
    <w:p w14:paraId="46852047" w14:textId="57D44187" w:rsidR="00667241" w:rsidRDefault="00F73591" w:rsidP="00F73591">
      <w:pPr>
        <w:pStyle w:val="NoSpacing"/>
        <w:numPr>
          <w:ilvl w:val="0"/>
          <w:numId w:val="10"/>
        </w:numPr>
      </w:pPr>
      <w:r>
        <w:t xml:space="preserve">For use within water applications </w:t>
      </w:r>
      <w:r w:rsidR="00667241">
        <w:t>that have been screened and are free of debris or suspended solids</w:t>
      </w:r>
      <w:r w:rsidR="008D5370">
        <w:t>.</w:t>
      </w:r>
    </w:p>
    <w:p w14:paraId="74527A5F" w14:textId="3803CEE8" w:rsidR="00604E93" w:rsidRDefault="00667241" w:rsidP="00F73591">
      <w:pPr>
        <w:pStyle w:val="NoSpacing"/>
        <w:numPr>
          <w:ilvl w:val="0"/>
          <w:numId w:val="10"/>
        </w:numPr>
      </w:pPr>
      <w:r>
        <w:t xml:space="preserve">The preferred orientation is with system pressure applied to the backside of the valve disc in the closed position so that seat adjustments can be made as necessary. </w:t>
      </w:r>
    </w:p>
    <w:sectPr w:rsidR="00604E93" w:rsidSect="00263CD4">
      <w:headerReference w:type="default" r:id="rId11"/>
      <w:pgSz w:w="12240" w:h="15840"/>
      <w:pgMar w:top="198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3B9F" w14:textId="77777777" w:rsidR="006D0A8D" w:rsidRDefault="006D0A8D" w:rsidP="00175927">
      <w:pPr>
        <w:spacing w:after="0" w:line="240" w:lineRule="auto"/>
      </w:pPr>
      <w:r>
        <w:separator/>
      </w:r>
    </w:p>
  </w:endnote>
  <w:endnote w:type="continuationSeparator" w:id="0">
    <w:p w14:paraId="2D6AC4C6" w14:textId="77777777" w:rsidR="006D0A8D" w:rsidRDefault="006D0A8D" w:rsidP="00175927">
      <w:pPr>
        <w:spacing w:after="0" w:line="240" w:lineRule="auto"/>
      </w:pPr>
      <w:r>
        <w:continuationSeparator/>
      </w:r>
    </w:p>
  </w:endnote>
  <w:endnote w:type="continuationNotice" w:id="1">
    <w:p w14:paraId="013BA83C" w14:textId="77777777" w:rsidR="006D0A8D" w:rsidRDefault="006D0A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ADD4" w14:textId="77777777" w:rsidR="006D0A8D" w:rsidRDefault="006D0A8D" w:rsidP="00175927">
      <w:pPr>
        <w:spacing w:after="0" w:line="240" w:lineRule="auto"/>
      </w:pPr>
      <w:r>
        <w:separator/>
      </w:r>
    </w:p>
  </w:footnote>
  <w:footnote w:type="continuationSeparator" w:id="0">
    <w:p w14:paraId="21B5ECA9" w14:textId="77777777" w:rsidR="006D0A8D" w:rsidRDefault="006D0A8D" w:rsidP="00175927">
      <w:pPr>
        <w:spacing w:after="0" w:line="240" w:lineRule="auto"/>
      </w:pPr>
      <w:r>
        <w:continuationSeparator/>
      </w:r>
    </w:p>
  </w:footnote>
  <w:footnote w:type="continuationNotice" w:id="1">
    <w:p w14:paraId="7B2511F4" w14:textId="77777777" w:rsidR="006D0A8D" w:rsidRDefault="006D0A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401116A5" w:rsidR="00F627D0" w:rsidRPr="00F627D0" w:rsidRDefault="009A4575" w:rsidP="00F627D0">
    <w:pPr>
      <w:pStyle w:val="Header"/>
      <w:rPr>
        <w:rFonts w:asciiTheme="majorHAnsi" w:hAnsiTheme="majorHAnsi"/>
      </w:rPr>
    </w:pPr>
    <w:r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95437E" wp14:editId="481C125C">
              <wp:simplePos x="0" y="0"/>
              <wp:positionH relativeFrom="column">
                <wp:posOffset>4743450</wp:posOffset>
              </wp:positionH>
              <wp:positionV relativeFrom="paragraph">
                <wp:posOffset>19050</wp:posOffset>
              </wp:positionV>
              <wp:extent cx="143827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086920C5" w:rsidR="002B345D" w:rsidRPr="00EB0631" w:rsidRDefault="00AF2C16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BF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-SS0001-</w:t>
                          </w:r>
                          <w:r w:rsidR="009A4575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</w:p>
                        <w:p w14:paraId="46F90078" w14:textId="7E28B5BE" w:rsidR="002B345D" w:rsidRPr="00EB0631" w:rsidRDefault="009A4575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November 19</w:t>
                          </w:r>
                          <w:r w:rsidR="002B345D"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, 2025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3.5pt;margin-top:1.5pt;width:113.25pt;height:3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ZpDQIAAP0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" stroked="f">
              <v:textbox>
                <w:txbxContent>
                  <w:p w14:paraId="0555957D" w14:textId="086920C5" w:rsidR="002B345D" w:rsidRPr="00EB0631" w:rsidRDefault="00AF2C16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BF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-SS0001-</w:t>
                    </w:r>
                    <w:r w:rsidR="009A4575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B</w:t>
                    </w:r>
                  </w:p>
                  <w:p w14:paraId="46F90078" w14:textId="7E28B5BE" w:rsidR="002B345D" w:rsidRPr="00EB0631" w:rsidRDefault="009A4575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November 19</w:t>
                    </w:r>
                    <w:r w:rsidR="002B345D"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>, 2025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7241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87DA2A5" wp14:editId="42F0684D">
              <wp:simplePos x="0" y="0"/>
              <wp:positionH relativeFrom="column">
                <wp:posOffset>-152400</wp:posOffset>
              </wp:positionH>
              <wp:positionV relativeFrom="paragraph">
                <wp:posOffset>-76200</wp:posOffset>
              </wp:positionV>
              <wp:extent cx="213360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32749" w14:textId="0CDCF4C6" w:rsidR="00EB2351" w:rsidRDefault="00AF2C16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AWWA BUTTERFLY</w:t>
                          </w:r>
                          <w:r w:rsidR="00867740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 xml:space="preserve"> VALVE</w:t>
                          </w:r>
                        </w:p>
                        <w:p w14:paraId="5BD8E806" w14:textId="463827CF" w:rsidR="00667241" w:rsidRPr="00EB0631" w:rsidRDefault="00667241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 xml:space="preserve">SEAT ON DISC 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DA2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pt;margin-top:-6pt;width:168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" stroked="f">
              <v:textbox>
                <w:txbxContent>
                  <w:p w14:paraId="6E532749" w14:textId="0CDCF4C6" w:rsidR="00EB2351" w:rsidRDefault="00AF2C16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AWWA BUTTERFLY</w:t>
                    </w:r>
                    <w:r w:rsidR="00867740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 xml:space="preserve"> VALVE</w:t>
                    </w:r>
                  </w:p>
                  <w:p w14:paraId="5BD8E806" w14:textId="463827CF" w:rsidR="00667241" w:rsidRPr="00EB0631" w:rsidRDefault="00667241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 xml:space="preserve">SEAT ON DISC 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739D" w:rsidRPr="005A5E95">
      <w:rPr>
        <w:noProof/>
      </w:rPr>
      <w:drawing>
        <wp:anchor distT="0" distB="0" distL="114300" distR="114300" simplePos="0" relativeHeight="251658245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744294329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39D" w:rsidRPr="005A5E95">
      <w:rPr>
        <w:noProof/>
      </w:rPr>
      <w:drawing>
        <wp:anchor distT="0" distB="0" distL="114300" distR="114300" simplePos="0" relativeHeight="251658246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2013932105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739D" w:rsidRPr="002B345D">
      <w:rPr>
        <w:rFonts w:asciiTheme="majorHAnsi" w:hAnsiTheme="majorHAnsi"/>
        <w:noProof/>
      </w:rPr>
      <w:drawing>
        <wp:anchor distT="0" distB="0" distL="114300" distR="114300" simplePos="0" relativeHeight="251658244" behindDoc="0" locked="0" layoutInCell="1" allowOverlap="1" wp14:anchorId="3016AC1E" wp14:editId="509F8E45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78948449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58243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36892943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4769F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E22"/>
    <w:multiLevelType w:val="hybridMultilevel"/>
    <w:tmpl w:val="71067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9"/>
  </w:num>
  <w:num w:numId="7" w16cid:durableId="1976064211">
    <w:abstractNumId w:val="8"/>
  </w:num>
  <w:num w:numId="8" w16cid:durableId="1212115432">
    <w:abstractNumId w:val="2"/>
  </w:num>
  <w:num w:numId="9" w16cid:durableId="1628968504">
    <w:abstractNumId w:val="7"/>
  </w:num>
  <w:num w:numId="10" w16cid:durableId="1933974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10E27"/>
    <w:rsid w:val="000127E4"/>
    <w:rsid w:val="00017612"/>
    <w:rsid w:val="00021A8E"/>
    <w:rsid w:val="00022DC9"/>
    <w:rsid w:val="00024C07"/>
    <w:rsid w:val="0004225E"/>
    <w:rsid w:val="000475D3"/>
    <w:rsid w:val="00065AFE"/>
    <w:rsid w:val="000759F8"/>
    <w:rsid w:val="00075BFD"/>
    <w:rsid w:val="00096F86"/>
    <w:rsid w:val="000B147F"/>
    <w:rsid w:val="000E5E3C"/>
    <w:rsid w:val="000E7230"/>
    <w:rsid w:val="000E7B39"/>
    <w:rsid w:val="0010466E"/>
    <w:rsid w:val="00117609"/>
    <w:rsid w:val="00146ED8"/>
    <w:rsid w:val="001533BF"/>
    <w:rsid w:val="0016041B"/>
    <w:rsid w:val="00175927"/>
    <w:rsid w:val="001B7D1B"/>
    <w:rsid w:val="001C674B"/>
    <w:rsid w:val="001D794B"/>
    <w:rsid w:val="001F2E66"/>
    <w:rsid w:val="001F46A4"/>
    <w:rsid w:val="001F7B44"/>
    <w:rsid w:val="0020359D"/>
    <w:rsid w:val="00217671"/>
    <w:rsid w:val="00217F65"/>
    <w:rsid w:val="00225774"/>
    <w:rsid w:val="0023229E"/>
    <w:rsid w:val="00235273"/>
    <w:rsid w:val="0024773D"/>
    <w:rsid w:val="00252C43"/>
    <w:rsid w:val="00263CD4"/>
    <w:rsid w:val="002807A7"/>
    <w:rsid w:val="0028211C"/>
    <w:rsid w:val="0028307E"/>
    <w:rsid w:val="00290735"/>
    <w:rsid w:val="002917F1"/>
    <w:rsid w:val="002A7907"/>
    <w:rsid w:val="002B345D"/>
    <w:rsid w:val="002D0622"/>
    <w:rsid w:val="002D6FA0"/>
    <w:rsid w:val="002D7FE6"/>
    <w:rsid w:val="002F0E1B"/>
    <w:rsid w:val="002F3CA9"/>
    <w:rsid w:val="002F5AC1"/>
    <w:rsid w:val="00316CA0"/>
    <w:rsid w:val="003214A8"/>
    <w:rsid w:val="00337EC4"/>
    <w:rsid w:val="00352863"/>
    <w:rsid w:val="00356971"/>
    <w:rsid w:val="003723F4"/>
    <w:rsid w:val="00373F2D"/>
    <w:rsid w:val="003857E1"/>
    <w:rsid w:val="003A3EE9"/>
    <w:rsid w:val="003B0002"/>
    <w:rsid w:val="003C72E1"/>
    <w:rsid w:val="003D3895"/>
    <w:rsid w:val="003F00A0"/>
    <w:rsid w:val="003F151B"/>
    <w:rsid w:val="0042573C"/>
    <w:rsid w:val="004513DF"/>
    <w:rsid w:val="00456B29"/>
    <w:rsid w:val="004677CE"/>
    <w:rsid w:val="004742E9"/>
    <w:rsid w:val="0047452E"/>
    <w:rsid w:val="004911B4"/>
    <w:rsid w:val="004B476A"/>
    <w:rsid w:val="004C34A2"/>
    <w:rsid w:val="004C6F35"/>
    <w:rsid w:val="004D5655"/>
    <w:rsid w:val="004F1576"/>
    <w:rsid w:val="004F2B28"/>
    <w:rsid w:val="005027AD"/>
    <w:rsid w:val="00527268"/>
    <w:rsid w:val="005421C4"/>
    <w:rsid w:val="005429E6"/>
    <w:rsid w:val="00556625"/>
    <w:rsid w:val="005650B6"/>
    <w:rsid w:val="0057153B"/>
    <w:rsid w:val="00577F14"/>
    <w:rsid w:val="00580B49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5F75B2"/>
    <w:rsid w:val="00604E93"/>
    <w:rsid w:val="00607DF0"/>
    <w:rsid w:val="0061094F"/>
    <w:rsid w:val="00620CE9"/>
    <w:rsid w:val="00623E59"/>
    <w:rsid w:val="006416DF"/>
    <w:rsid w:val="006534E4"/>
    <w:rsid w:val="00654293"/>
    <w:rsid w:val="006556B9"/>
    <w:rsid w:val="00655B89"/>
    <w:rsid w:val="00660E08"/>
    <w:rsid w:val="00667241"/>
    <w:rsid w:val="006911A6"/>
    <w:rsid w:val="00694BD0"/>
    <w:rsid w:val="006B282E"/>
    <w:rsid w:val="006B697D"/>
    <w:rsid w:val="006C5581"/>
    <w:rsid w:val="006D0A8D"/>
    <w:rsid w:val="006D1842"/>
    <w:rsid w:val="006D67B0"/>
    <w:rsid w:val="006E0608"/>
    <w:rsid w:val="00701FC3"/>
    <w:rsid w:val="00732DCE"/>
    <w:rsid w:val="00733DC2"/>
    <w:rsid w:val="007356F9"/>
    <w:rsid w:val="0074679A"/>
    <w:rsid w:val="007551B0"/>
    <w:rsid w:val="00783167"/>
    <w:rsid w:val="007871C3"/>
    <w:rsid w:val="007A3EB4"/>
    <w:rsid w:val="007C0B57"/>
    <w:rsid w:val="007C3069"/>
    <w:rsid w:val="007E4683"/>
    <w:rsid w:val="007F47A8"/>
    <w:rsid w:val="00803951"/>
    <w:rsid w:val="00830356"/>
    <w:rsid w:val="008404B4"/>
    <w:rsid w:val="00843C67"/>
    <w:rsid w:val="0084739D"/>
    <w:rsid w:val="008570DA"/>
    <w:rsid w:val="00860A80"/>
    <w:rsid w:val="00862552"/>
    <w:rsid w:val="00867740"/>
    <w:rsid w:val="00870992"/>
    <w:rsid w:val="00873617"/>
    <w:rsid w:val="008921D6"/>
    <w:rsid w:val="00896EA8"/>
    <w:rsid w:val="008A3B84"/>
    <w:rsid w:val="008A694D"/>
    <w:rsid w:val="008A7EC4"/>
    <w:rsid w:val="008B2BB2"/>
    <w:rsid w:val="008B7407"/>
    <w:rsid w:val="008C2235"/>
    <w:rsid w:val="008D5370"/>
    <w:rsid w:val="008D6C88"/>
    <w:rsid w:val="008E09BF"/>
    <w:rsid w:val="008E23B7"/>
    <w:rsid w:val="00910E68"/>
    <w:rsid w:val="00955A2C"/>
    <w:rsid w:val="00963455"/>
    <w:rsid w:val="009776A2"/>
    <w:rsid w:val="00981023"/>
    <w:rsid w:val="009A1282"/>
    <w:rsid w:val="009A177D"/>
    <w:rsid w:val="009A4575"/>
    <w:rsid w:val="009A7D74"/>
    <w:rsid w:val="009B028A"/>
    <w:rsid w:val="009B6568"/>
    <w:rsid w:val="009C5AF8"/>
    <w:rsid w:val="009C72CD"/>
    <w:rsid w:val="009E04D6"/>
    <w:rsid w:val="00A03F2B"/>
    <w:rsid w:val="00A10888"/>
    <w:rsid w:val="00A3569D"/>
    <w:rsid w:val="00A54EFA"/>
    <w:rsid w:val="00A6111A"/>
    <w:rsid w:val="00A62F46"/>
    <w:rsid w:val="00A7050F"/>
    <w:rsid w:val="00A72E9B"/>
    <w:rsid w:val="00A87468"/>
    <w:rsid w:val="00A97687"/>
    <w:rsid w:val="00AA5310"/>
    <w:rsid w:val="00AD35E3"/>
    <w:rsid w:val="00AD5F52"/>
    <w:rsid w:val="00AE1499"/>
    <w:rsid w:val="00AE2D13"/>
    <w:rsid w:val="00AF2C16"/>
    <w:rsid w:val="00AF64AD"/>
    <w:rsid w:val="00B067C8"/>
    <w:rsid w:val="00B10A75"/>
    <w:rsid w:val="00B148EA"/>
    <w:rsid w:val="00B4081C"/>
    <w:rsid w:val="00B42BB8"/>
    <w:rsid w:val="00B63DA2"/>
    <w:rsid w:val="00B8362E"/>
    <w:rsid w:val="00B8751A"/>
    <w:rsid w:val="00B93900"/>
    <w:rsid w:val="00BA1B0A"/>
    <w:rsid w:val="00BC1206"/>
    <w:rsid w:val="00BD5FD0"/>
    <w:rsid w:val="00BF6F73"/>
    <w:rsid w:val="00BF7C02"/>
    <w:rsid w:val="00C004C8"/>
    <w:rsid w:val="00C00EB3"/>
    <w:rsid w:val="00C07D1D"/>
    <w:rsid w:val="00C11B59"/>
    <w:rsid w:val="00C25D64"/>
    <w:rsid w:val="00C40645"/>
    <w:rsid w:val="00C44A6A"/>
    <w:rsid w:val="00C47FED"/>
    <w:rsid w:val="00C51973"/>
    <w:rsid w:val="00C62E61"/>
    <w:rsid w:val="00C90874"/>
    <w:rsid w:val="00CB00A8"/>
    <w:rsid w:val="00CB7BBB"/>
    <w:rsid w:val="00CC322B"/>
    <w:rsid w:val="00CD0B54"/>
    <w:rsid w:val="00CD5628"/>
    <w:rsid w:val="00CE0D77"/>
    <w:rsid w:val="00CE2027"/>
    <w:rsid w:val="00CE36E7"/>
    <w:rsid w:val="00CF62EE"/>
    <w:rsid w:val="00D07133"/>
    <w:rsid w:val="00D10586"/>
    <w:rsid w:val="00D13A8E"/>
    <w:rsid w:val="00D21ECD"/>
    <w:rsid w:val="00D247BE"/>
    <w:rsid w:val="00D264B5"/>
    <w:rsid w:val="00D414DA"/>
    <w:rsid w:val="00D57DC9"/>
    <w:rsid w:val="00D65222"/>
    <w:rsid w:val="00D76B91"/>
    <w:rsid w:val="00D76BA2"/>
    <w:rsid w:val="00D948EB"/>
    <w:rsid w:val="00D9707A"/>
    <w:rsid w:val="00DC7C6D"/>
    <w:rsid w:val="00DE77C2"/>
    <w:rsid w:val="00DF4B6F"/>
    <w:rsid w:val="00E15054"/>
    <w:rsid w:val="00E26C23"/>
    <w:rsid w:val="00E3703C"/>
    <w:rsid w:val="00E47B7B"/>
    <w:rsid w:val="00E65A47"/>
    <w:rsid w:val="00E863ED"/>
    <w:rsid w:val="00EA7DE9"/>
    <w:rsid w:val="00EB03B3"/>
    <w:rsid w:val="00EB0631"/>
    <w:rsid w:val="00EB2351"/>
    <w:rsid w:val="00EC1083"/>
    <w:rsid w:val="00EC1688"/>
    <w:rsid w:val="00EC6D24"/>
    <w:rsid w:val="00ED4FE0"/>
    <w:rsid w:val="00ED7FE7"/>
    <w:rsid w:val="00EF1066"/>
    <w:rsid w:val="00EF1F86"/>
    <w:rsid w:val="00F0000B"/>
    <w:rsid w:val="00F14E6F"/>
    <w:rsid w:val="00F200E8"/>
    <w:rsid w:val="00F544BC"/>
    <w:rsid w:val="00F5708A"/>
    <w:rsid w:val="00F57733"/>
    <w:rsid w:val="00F61B55"/>
    <w:rsid w:val="00F627D0"/>
    <w:rsid w:val="00F73591"/>
    <w:rsid w:val="00F86914"/>
    <w:rsid w:val="00FB0301"/>
    <w:rsid w:val="00FB3BBD"/>
    <w:rsid w:val="00FC218E"/>
    <w:rsid w:val="00FC3436"/>
    <w:rsid w:val="00FC351B"/>
    <w:rsid w:val="00FC703E"/>
    <w:rsid w:val="00FE1FC0"/>
    <w:rsid w:val="00FE3A5B"/>
    <w:rsid w:val="00FE4554"/>
    <w:rsid w:val="00FF1BAB"/>
    <w:rsid w:val="00FF2D36"/>
    <w:rsid w:val="00FF3DFC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D92EB9C7-4D2A-4725-9CE7-F1D80E1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ECAC5A487C143A9491D84D4E9883B" ma:contentTypeVersion="4" ma:contentTypeDescription="Create a new document." ma:contentTypeScope="" ma:versionID="974446f4216a26d5e364cd4a45a9fec6">
  <xsd:schema xmlns:xsd="http://www.w3.org/2001/XMLSchema" xmlns:xs="http://www.w3.org/2001/XMLSchema" xmlns:p="http://schemas.microsoft.com/office/2006/metadata/properties" xmlns:ns2="9e0e0c86-f747-4daf-9901-749687a6557d" targetNamespace="http://schemas.microsoft.com/office/2006/metadata/properties" ma:root="true" ma:fieldsID="9140a9fea9e1b146494f890b5ca8319c" ns2:_="">
    <xsd:import namespace="9e0e0c86-f747-4daf-9901-749687a65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0c86-f747-4daf-9901-749687a65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3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AEC43-9D20-42DC-94E5-C7E8456C5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3</cp:revision>
  <cp:lastPrinted>2025-03-04T19:00:00Z</cp:lastPrinted>
  <dcterms:created xsi:type="dcterms:W3CDTF">2025-11-19T15:49:00Z</dcterms:created>
  <dcterms:modified xsi:type="dcterms:W3CDTF">2025-11-19T15:53:00Z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0x010100C5DECAC5A487C143A9491D84D4E9883B</vt:lpwstr>
  </property>
  <property fmtid="{D5CDD505-2E9C-101B-9397-08002B2CF9AE}" pid="3" name="MediaServiceImageTags">
    <vt:lpwstr/>
  </property>
</Properties>
</file>